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84"/>
        <w:gridCol w:w="5184"/>
      </w:tblGrid>
      <w:tr>
        <w:tc>
          <w:tcPr>
            <w:tcW w:type="dxa" w:w="5184"/>
          </w:tcPr>
          <w:p>
            <w:r>
              <w:drawing>
                <wp:inline xmlns:a="http://schemas.openxmlformats.org/drawingml/2006/main" xmlns:pic="http://schemas.openxmlformats.org/drawingml/2006/picture">
                  <wp:extent cx="1508760" cy="566486"/>
                  <wp:docPr id="1" name="Picture 1"/>
                  <wp:cNvGraphicFramePr>
                    <a:graphicFrameLocks noChangeAspect="1"/>
                  </wp:cNvGraphicFramePr>
                  <a:graphic>
                    <a:graphicData uri="http://schemas.openxmlformats.org/drawingml/2006/picture">
                      <pic:pic>
                        <pic:nvPicPr>
                          <pic:cNvPr id="0" name="8075f285-c412-4089-9b43-e7b959909e42.png"/>
                          <pic:cNvPicPr/>
                        </pic:nvPicPr>
                        <pic:blipFill>
                          <a:blip r:embed="rId9"/>
                          <a:stretch>
                            <a:fillRect/>
                          </a:stretch>
                        </pic:blipFill>
                        <pic:spPr>
                          <a:xfrm>
                            <a:off x="0" y="0"/>
                            <a:ext cx="1508760" cy="566486"/>
                          </a:xfrm>
                          <a:prstGeom prst="rect"/>
                        </pic:spPr>
                      </pic:pic>
                    </a:graphicData>
                  </a:graphic>
                </wp:inline>
              </w:drawing>
            </w:r>
          </w:p>
        </w:tc>
        <w:tc>
          <w:tcPr>
            <w:tcW w:type="dxa" w:w="5184"/>
          </w:tcPr>
          <w:p>
            <w:pPr>
              <w:jc w:val="center"/>
            </w:pPr>
            <w:r>
              <w:rPr>
                <w:b/>
                <w:color w:val="1F693D"/>
                <w:sz w:val="34"/>
              </w:rPr>
              <w:t>FAIRBANKS COMMUNITY HEALTH REACH</w:t>
            </w:r>
          </w:p>
          <w:p>
            <w:pPr>
              <w:jc w:val="center"/>
            </w:pPr>
            <w:r>
              <w:rPr>
                <w:b/>
                <w:sz w:val="26"/>
              </w:rPr>
              <w:t>KEY PERSONNEL PROJECT BRIEF</w:t>
            </w:r>
          </w:p>
          <w:p>
            <w:pPr>
              <w:jc w:val="center"/>
            </w:pPr>
            <w:r>
              <w:rPr>
                <w:i/>
              </w:rPr>
              <w:t>WA Foundation Category 2 – FairBanks Medical Centre Limited</w:t>
            </w:r>
          </w:p>
        </w:tc>
      </w:tr>
    </w:tbl>
    <w:p>
      <w:pPr>
        <w:jc w:val="center"/>
      </w:pPr>
      <w:r>
        <w:rPr>
          <w:i/>
          <w:sz w:val="17"/>
        </w:rPr>
        <w:t>A short orientation guide for personnel completing the Annex 6 CV template</w:t>
      </w:r>
    </w:p>
    <w:p>
      <w:pPr>
        <w:pStyle w:val="Heading1"/>
      </w:pPr>
      <w:r>
        <w:t>1. What is this project?</w:t>
      </w:r>
    </w:p>
    <w:p>
      <w:r>
        <w:t>FairBanks Community Health Reach (FCHR) is a proposed 12-month community-based healthcare programme designed to improve access to preventive, primary and continuous healthcare among underserved and peri-urban communities in Kampala, Uganda.</w:t>
      </w:r>
    </w:p>
    <w:p>
      <w:r>
        <w:t>The project is intended to connect community structures—including Village Health Teams (VHTs), Community Health Workers (CHWs) and local leaders—with FairBanks Medical Centre through a coordinated pathway of health education, screening, referral, clinical linkage, follow-up and community health information.</w:t>
      </w:r>
    </w:p>
    <w:p>
      <w:r>
        <w:t>The proposed implementation period is October 2026 to September 2027, subject to award confirmation, with a proposed grant request of USD 49,500.</w:t>
      </w:r>
    </w:p>
    <w:p>
      <w:pPr>
        <w:pStyle w:val="Heading1"/>
      </w:pPr>
      <w:r>
        <w:t>2. Why is the project needed?</w:t>
      </w:r>
    </w:p>
    <w:p>
      <w:pPr>
        <w:pStyle w:val="ListBullet"/>
      </w:pPr>
      <w:r>
        <w:t>Some community members may have limited access to preventive health information and may seek care late.</w:t>
      </w:r>
    </w:p>
    <w:p>
      <w:pPr>
        <w:pStyle w:val="ListBullet"/>
      </w:pPr>
      <w:r>
        <w:t>Financial and access barriers can affect timely assessment and treatment.</w:t>
      </w:r>
    </w:p>
    <w:p>
      <w:pPr>
        <w:pStyle w:val="ListBullet"/>
      </w:pPr>
      <w:r>
        <w:t>Referral pathways can be fragmented, meaning identification of a health concern does not always result in completed care.</w:t>
      </w:r>
    </w:p>
    <w:p>
      <w:pPr>
        <w:pStyle w:val="ListBullet"/>
      </w:pPr>
      <w:r>
        <w:t>Patients who require ongoing support may be lost to follow-up after the initial facility encounter.</w:t>
      </w:r>
    </w:p>
    <w:p>
      <w:pPr>
        <w:pStyle w:val="ListBullet"/>
      </w:pPr>
      <w:r>
        <w:t>Better community-level information is needed to understand reach, screening, referral and follow-up and to improve programme decisions.</w:t>
      </w:r>
    </w:p>
    <w:p>
      <w:r>
        <w:t>FCHR is therefore designed as a connected community-to-facility pathway rather than a one-off outreach campaign.</w:t>
      </w:r>
    </w:p>
    <w:p>
      <w:pPr>
        <w:pStyle w:val="Heading1"/>
      </w:pPr>
      <w:r>
        <w:t>3. How the model works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93D"/>
          </w:tcPr>
          <w:p>
            <w:r/>
            <w:r>
              <w:rPr>
                <w:rFonts w:ascii="Arial" w:hAnsi="Arial"/>
                <w:b/>
                <w:sz w:val="16"/>
              </w:rPr>
              <w:t>Project Stage</w:t>
            </w:r>
          </w:p>
        </w:tc>
        <w:tc>
          <w:tcPr>
            <w:tcW w:type="dxa" w:w="5184"/>
            <w:vAlign w:val="center"/>
            <w:shd w:fill="1F693D"/>
          </w:tcPr>
          <w:p>
            <w:r/>
            <w:r>
              <w:rPr>
                <w:rFonts w:ascii="Arial" w:hAnsi="Arial"/>
                <w:b/>
                <w:sz w:val="16"/>
              </w:rPr>
              <w:t>What Happens</w:t>
            </w:r>
          </w:p>
        </w:tc>
      </w:tr>
      <w:tr>
        <w:tc>
          <w:tcPr>
            <w:tcW w:type="dxa" w:w="5184"/>
            <w:vAlign w:val="center"/>
          </w:tcPr>
          <w:p>
            <w:r/>
            <w:r>
              <w:rPr>
                <w:rFonts w:ascii="Arial" w:hAnsi="Arial"/>
                <w:b w:val="0"/>
                <w:sz w:val="16"/>
              </w:rPr>
              <w:t>1. Community engagement</w:t>
            </w:r>
          </w:p>
        </w:tc>
        <w:tc>
          <w:tcPr>
            <w:tcW w:type="dxa" w:w="5184"/>
            <w:vAlign w:val="center"/>
          </w:tcPr>
          <w:p>
            <w:r/>
            <w:r>
              <w:rPr>
                <w:rFonts w:ascii="Arial" w:hAnsi="Arial"/>
                <w:b w:val="0"/>
                <w:sz w:val="16"/>
              </w:rPr>
              <w:t>Engage local leaders, VHTs/CHWs, youth leaders, women’s groups and religious leaders; agree roles and way forward.</w:t>
            </w:r>
          </w:p>
        </w:tc>
      </w:tr>
      <w:tr>
        <w:tc>
          <w:tcPr>
            <w:tcW w:type="dxa" w:w="5184"/>
            <w:vAlign w:val="center"/>
          </w:tcPr>
          <w:p>
            <w:r/>
            <w:r>
              <w:rPr>
                <w:rFonts w:ascii="Arial" w:hAnsi="Arial"/>
                <w:b w:val="0"/>
                <w:sz w:val="16"/>
              </w:rPr>
              <w:t>2. Health education</w:t>
            </w:r>
          </w:p>
        </w:tc>
        <w:tc>
          <w:tcPr>
            <w:tcW w:type="dxa" w:w="5184"/>
            <w:vAlign w:val="center"/>
          </w:tcPr>
          <w:p>
            <w:r/>
            <w:r>
              <w:rPr>
                <w:rFonts w:ascii="Arial" w:hAnsi="Arial"/>
                <w:b w:val="0"/>
                <w:sz w:val="16"/>
              </w:rPr>
              <w:t>Provide structured sessions on prevention, healthy lifestyles, maternal/family health, chronic disease awareness and appropriate health-seeking.</w:t>
            </w:r>
          </w:p>
        </w:tc>
      </w:tr>
      <w:tr>
        <w:tc>
          <w:tcPr>
            <w:tcW w:type="dxa" w:w="5184"/>
            <w:vAlign w:val="center"/>
          </w:tcPr>
          <w:p>
            <w:r/>
            <w:r>
              <w:rPr>
                <w:rFonts w:ascii="Arial" w:hAnsi="Arial"/>
                <w:b w:val="0"/>
                <w:sz w:val="16"/>
              </w:rPr>
              <w:t>3. Screening &amp; early detection</w:t>
            </w:r>
          </w:p>
        </w:tc>
        <w:tc>
          <w:tcPr>
            <w:tcW w:type="dxa" w:w="5184"/>
            <w:vAlign w:val="center"/>
          </w:tcPr>
          <w:p>
            <w:r/>
            <w:r>
              <w:rPr>
                <w:rFonts w:ascii="Arial" w:hAnsi="Arial"/>
                <w:b w:val="0"/>
                <w:sz w:val="16"/>
              </w:rPr>
              <w:t>Conduct priority screening and identify people who may require further assessment.</w:t>
            </w:r>
          </w:p>
        </w:tc>
      </w:tr>
      <w:tr>
        <w:tc>
          <w:tcPr>
            <w:tcW w:type="dxa" w:w="5184"/>
            <w:vAlign w:val="center"/>
          </w:tcPr>
          <w:p>
            <w:r/>
            <w:r>
              <w:rPr>
                <w:rFonts w:ascii="Arial" w:hAnsi="Arial"/>
                <w:b w:val="0"/>
                <w:sz w:val="16"/>
              </w:rPr>
              <w:t>4. Referral &amp; clinical linkage</w:t>
            </w:r>
          </w:p>
        </w:tc>
        <w:tc>
          <w:tcPr>
            <w:tcW w:type="dxa" w:w="5184"/>
            <w:vAlign w:val="center"/>
          </w:tcPr>
          <w:p>
            <w:r/>
            <w:r>
              <w:rPr>
                <w:rFonts w:ascii="Arial" w:hAnsi="Arial"/>
                <w:b w:val="0"/>
                <w:sz w:val="16"/>
              </w:rPr>
              <w:t>Support referral, appointment linkage and appropriate assessment at FairBanks or another appropriate service.</w:t>
            </w:r>
          </w:p>
        </w:tc>
      </w:tr>
      <w:tr>
        <w:tc>
          <w:tcPr>
            <w:tcW w:type="dxa" w:w="5184"/>
            <w:vAlign w:val="center"/>
          </w:tcPr>
          <w:p>
            <w:r/>
            <w:r>
              <w:rPr>
                <w:rFonts w:ascii="Arial" w:hAnsi="Arial"/>
                <w:b w:val="0"/>
                <w:sz w:val="16"/>
              </w:rPr>
              <w:t>5. Follow-up &amp; continuity</w:t>
            </w:r>
          </w:p>
        </w:tc>
        <w:tc>
          <w:tcPr>
            <w:tcW w:type="dxa" w:w="5184"/>
            <w:vAlign w:val="center"/>
          </w:tcPr>
          <w:p>
            <w:r/>
            <w:r>
              <w:rPr>
                <w:rFonts w:ascii="Arial" w:hAnsi="Arial"/>
                <w:b w:val="0"/>
                <w:sz w:val="16"/>
              </w:rPr>
              <w:t>Conduct post-visit follow-up and selected home/community follow-up for priority cases.</w:t>
            </w:r>
          </w:p>
        </w:tc>
      </w:tr>
      <w:tr>
        <w:tc>
          <w:tcPr>
            <w:tcW w:type="dxa" w:w="5184"/>
            <w:vAlign w:val="center"/>
          </w:tcPr>
          <w:p>
            <w:r/>
            <w:r>
              <w:rPr>
                <w:rFonts w:ascii="Arial" w:hAnsi="Arial"/>
                <w:b w:val="0"/>
                <w:sz w:val="16"/>
              </w:rPr>
              <w:t>6. FCHIP &amp; learning</w:t>
            </w:r>
          </w:p>
        </w:tc>
        <w:tc>
          <w:tcPr>
            <w:tcW w:type="dxa" w:w="5184"/>
            <w:vAlign w:val="center"/>
          </w:tcPr>
          <w:p>
            <w:r/>
            <w:r>
              <w:rPr>
                <w:rFonts w:ascii="Arial" w:hAnsi="Arial"/>
                <w:b w:val="0"/>
                <w:sz w:val="16"/>
              </w:rPr>
              <w:t>Capture community information, referral and follow-up data and use it for programme management.</w:t>
            </w:r>
          </w:p>
        </w:tc>
      </w:tr>
      <w:tr>
        <w:tc>
          <w:tcPr>
            <w:tcW w:type="dxa" w:w="5184"/>
            <w:vAlign w:val="center"/>
          </w:tcPr>
          <w:p>
            <w:r/>
            <w:r>
              <w:rPr>
                <w:rFonts w:ascii="Arial" w:hAnsi="Arial"/>
                <w:b w:val="0"/>
                <w:sz w:val="16"/>
              </w:rPr>
              <w:t>7. Sustainability</w:t>
            </w:r>
          </w:p>
        </w:tc>
        <w:tc>
          <w:tcPr>
            <w:tcW w:type="dxa" w:w="5184"/>
            <w:vAlign w:val="center"/>
          </w:tcPr>
          <w:p>
            <w:r/>
            <w:r>
              <w:rPr>
                <w:rFonts w:ascii="Arial" w:hAnsi="Arial"/>
                <w:b w:val="0"/>
                <w:sz w:val="16"/>
              </w:rPr>
              <w:t>Build partnership, insurance/community financing and other pathways to support continuation.</w:t>
            </w:r>
          </w:p>
        </w:tc>
      </w:tr>
    </w:tbl>
    <w:p>
      <w:pPr>
        <w:pStyle w:val="Heading1"/>
      </w:pPr>
      <w:r>
        <w:t>4. Who are the key community stakeholders?</w:t>
      </w:r>
    </w:p>
    <w:p>
      <w:r>
        <w:t>The existing Community Engagement Plan identifies the following stakeholder groups and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693D"/>
          </w:tcPr>
          <w:p>
            <w:r/>
            <w:r>
              <w:rPr>
                <w:rFonts w:ascii="Arial" w:hAnsi="Arial"/>
                <w:b/>
                <w:sz w:val="16"/>
              </w:rPr>
              <w:t>Stakeholder</w:t>
            </w:r>
          </w:p>
        </w:tc>
        <w:tc>
          <w:tcPr>
            <w:tcW w:type="dxa" w:w="3456"/>
            <w:vAlign w:val="center"/>
            <w:shd w:fill="1F693D"/>
          </w:tcPr>
          <w:p>
            <w:r/>
            <w:r>
              <w:rPr>
                <w:rFonts w:ascii="Arial" w:hAnsi="Arial"/>
                <w:b/>
                <w:sz w:val="16"/>
              </w:rPr>
              <w:t>Expected Role</w:t>
            </w:r>
          </w:p>
        </w:tc>
        <w:tc>
          <w:tcPr>
            <w:tcW w:type="dxa" w:w="3456"/>
            <w:vAlign w:val="center"/>
            <w:shd w:fill="1F693D"/>
          </w:tcPr>
          <w:p>
            <w:r/>
            <w:r>
              <w:rPr>
                <w:rFonts w:ascii="Arial" w:hAnsi="Arial"/>
                <w:b/>
                <w:sz w:val="16"/>
              </w:rPr>
              <w:t>What this means in practice</w:t>
            </w:r>
          </w:p>
        </w:tc>
      </w:tr>
      <w:tr>
        <w:tc>
          <w:tcPr>
            <w:tcW w:type="dxa" w:w="3456"/>
            <w:vAlign w:val="center"/>
          </w:tcPr>
          <w:p>
            <w:r/>
            <w:r>
              <w:rPr>
                <w:rFonts w:ascii="Arial" w:hAnsi="Arial"/>
                <w:b w:val="0"/>
                <w:sz w:val="15"/>
              </w:rPr>
              <w:t>LCI &amp; II chairpersons</w:t>
            </w:r>
          </w:p>
        </w:tc>
        <w:tc>
          <w:tcPr>
            <w:tcW w:type="dxa" w:w="3456"/>
            <w:vAlign w:val="center"/>
          </w:tcPr>
          <w:p>
            <w:r/>
            <w:r>
              <w:rPr>
                <w:rFonts w:ascii="Arial" w:hAnsi="Arial"/>
                <w:b w:val="0"/>
                <w:sz w:val="15"/>
              </w:rPr>
              <w:t>Mobilisation, sensitisation and support for access/permissions</w:t>
            </w:r>
          </w:p>
        </w:tc>
        <w:tc>
          <w:tcPr>
            <w:tcW w:type="dxa" w:w="3456"/>
            <w:vAlign w:val="center"/>
          </w:tcPr>
          <w:p>
            <w:r/>
            <w:r>
              <w:rPr>
                <w:rFonts w:ascii="Arial" w:hAnsi="Arial"/>
                <w:b w:val="0"/>
                <w:sz w:val="15"/>
              </w:rPr>
              <w:t>Help introduce the programme locally and support community participation.</w:t>
            </w:r>
          </w:p>
        </w:tc>
      </w:tr>
      <w:tr>
        <w:tc>
          <w:tcPr>
            <w:tcW w:type="dxa" w:w="3456"/>
            <w:vAlign w:val="center"/>
          </w:tcPr>
          <w:p>
            <w:r/>
            <w:r>
              <w:rPr>
                <w:rFonts w:ascii="Arial" w:hAnsi="Arial"/>
                <w:b w:val="0"/>
                <w:sz w:val="15"/>
              </w:rPr>
              <w:t>VHTs</w:t>
            </w:r>
          </w:p>
        </w:tc>
        <w:tc>
          <w:tcPr>
            <w:tcW w:type="dxa" w:w="3456"/>
            <w:vAlign w:val="center"/>
          </w:tcPr>
          <w:p>
            <w:r/>
            <w:r>
              <w:rPr>
                <w:rFonts w:ascii="Arial" w:hAnsi="Arial"/>
                <w:b w:val="0"/>
                <w:sz w:val="15"/>
              </w:rPr>
              <w:t>Community mobilisation, household identification, record keeping and referrals</w:t>
            </w:r>
          </w:p>
        </w:tc>
        <w:tc>
          <w:tcPr>
            <w:tcW w:type="dxa" w:w="3456"/>
            <w:vAlign w:val="center"/>
          </w:tcPr>
          <w:p>
            <w:r/>
            <w:r>
              <w:rPr>
                <w:rFonts w:ascii="Arial" w:hAnsi="Arial"/>
                <w:b w:val="0"/>
                <w:sz w:val="15"/>
              </w:rPr>
              <w:t>Act as frontline community links between households and the programme.</w:t>
            </w:r>
          </w:p>
        </w:tc>
      </w:tr>
      <w:tr>
        <w:tc>
          <w:tcPr>
            <w:tcW w:type="dxa" w:w="3456"/>
            <w:vAlign w:val="center"/>
          </w:tcPr>
          <w:p>
            <w:r/>
            <w:r>
              <w:rPr>
                <w:rFonts w:ascii="Arial" w:hAnsi="Arial"/>
                <w:b w:val="0"/>
                <w:sz w:val="15"/>
              </w:rPr>
              <w:t>Youth leaders</w:t>
            </w:r>
          </w:p>
        </w:tc>
        <w:tc>
          <w:tcPr>
            <w:tcW w:type="dxa" w:w="3456"/>
            <w:vAlign w:val="center"/>
          </w:tcPr>
          <w:p>
            <w:r/>
            <w:r>
              <w:rPr>
                <w:rFonts w:ascii="Arial" w:hAnsi="Arial"/>
                <w:b w:val="0"/>
                <w:sz w:val="15"/>
              </w:rPr>
              <w:t>Mobilisation and sensitisation talks</w:t>
            </w:r>
          </w:p>
        </w:tc>
        <w:tc>
          <w:tcPr>
            <w:tcW w:type="dxa" w:w="3456"/>
            <w:vAlign w:val="center"/>
          </w:tcPr>
          <w:p>
            <w:r/>
            <w:r>
              <w:rPr>
                <w:rFonts w:ascii="Arial" w:hAnsi="Arial"/>
                <w:b w:val="0"/>
                <w:sz w:val="15"/>
              </w:rPr>
              <w:t>Help reach and engage youth/community members.</w:t>
            </w:r>
          </w:p>
        </w:tc>
      </w:tr>
      <w:tr>
        <w:tc>
          <w:tcPr>
            <w:tcW w:type="dxa" w:w="3456"/>
            <w:vAlign w:val="center"/>
          </w:tcPr>
          <w:p>
            <w:r/>
            <w:r>
              <w:rPr>
                <w:rFonts w:ascii="Arial" w:hAnsi="Arial"/>
                <w:b w:val="0"/>
                <w:sz w:val="15"/>
              </w:rPr>
              <w:t>Women group leaders</w:t>
            </w:r>
          </w:p>
        </w:tc>
        <w:tc>
          <w:tcPr>
            <w:tcW w:type="dxa" w:w="3456"/>
            <w:vAlign w:val="center"/>
          </w:tcPr>
          <w:p>
            <w:r/>
            <w:r>
              <w:rPr>
                <w:rFonts w:ascii="Arial" w:hAnsi="Arial"/>
                <w:b w:val="0"/>
                <w:sz w:val="15"/>
              </w:rPr>
              <w:t>Mobilisation and sensitisation talks</w:t>
            </w:r>
          </w:p>
        </w:tc>
        <w:tc>
          <w:tcPr>
            <w:tcW w:type="dxa" w:w="3456"/>
            <w:vAlign w:val="center"/>
          </w:tcPr>
          <w:p>
            <w:r/>
            <w:r>
              <w:rPr>
                <w:rFonts w:ascii="Arial" w:hAnsi="Arial"/>
                <w:b w:val="0"/>
                <w:sz w:val="15"/>
              </w:rPr>
              <w:t>Help reach and engage women/community groups.</w:t>
            </w:r>
          </w:p>
        </w:tc>
      </w:tr>
      <w:tr>
        <w:tc>
          <w:tcPr>
            <w:tcW w:type="dxa" w:w="3456"/>
            <w:vAlign w:val="center"/>
          </w:tcPr>
          <w:p>
            <w:r/>
            <w:r>
              <w:rPr>
                <w:rFonts w:ascii="Arial" w:hAnsi="Arial"/>
                <w:b w:val="0"/>
                <w:sz w:val="15"/>
              </w:rPr>
              <w:t>Religious leaders</w:t>
            </w:r>
          </w:p>
        </w:tc>
        <w:tc>
          <w:tcPr>
            <w:tcW w:type="dxa" w:w="3456"/>
            <w:vAlign w:val="center"/>
          </w:tcPr>
          <w:p>
            <w:r/>
            <w:r>
              <w:rPr>
                <w:rFonts w:ascii="Arial" w:hAnsi="Arial"/>
                <w:b w:val="0"/>
                <w:sz w:val="15"/>
              </w:rPr>
              <w:t>Public announcements and outreach through places of worship</w:t>
            </w:r>
          </w:p>
        </w:tc>
        <w:tc>
          <w:tcPr>
            <w:tcW w:type="dxa" w:w="3456"/>
            <w:vAlign w:val="center"/>
          </w:tcPr>
          <w:p>
            <w:r/>
            <w:r>
              <w:rPr>
                <w:rFonts w:ascii="Arial" w:hAnsi="Arial"/>
                <w:b w:val="0"/>
                <w:sz w:val="15"/>
              </w:rPr>
              <w:t>Use trusted community channels to increase awareness and participation.</w:t>
            </w:r>
          </w:p>
        </w:tc>
      </w:tr>
    </w:tbl>
    <w:p>
      <w:pPr>
        <w:pStyle w:val="Heading1"/>
      </w:pPr>
      <w:r>
        <w:t>5. What is the project's current implementation logic?</w:t>
      </w:r>
    </w:p>
    <w:p>
      <w:r>
        <w:t>The project is being planned through four broad phases:</w:t>
      </w:r>
    </w:p>
    <w:p>
      <w:r>
        <w:rPr>
          <w:b/>
        </w:rPr>
        <w:t xml:space="preserve">Phase 1 – Inception (Months 1–2): </w:t>
      </w:r>
      <w:r>
        <w:t>Stakeholder engagement, community mapping, baseline, VHT/CHW orientation, tools and referral protocols.</w:t>
      </w:r>
    </w:p>
    <w:p>
      <w:r>
        <w:rPr>
          <w:b/>
        </w:rPr>
        <w:t xml:space="preserve">Phase 2 – Community Rollout (Months 3–5): </w:t>
      </w:r>
      <w:r>
        <w:t>Health education, mobilisation, screening, referrals and initial follow-up.</w:t>
      </w:r>
    </w:p>
    <w:p>
      <w:r>
        <w:rPr>
          <w:b/>
        </w:rPr>
        <w:t xml:space="preserve">Phase 3 – Integrated Care (Months 6–9): </w:t>
      </w:r>
      <w:r>
        <w:t>Routine outreach, referral strengthening, treatment linkage, continuity and data review.</w:t>
      </w:r>
    </w:p>
    <w:p>
      <w:r>
        <w:rPr>
          <w:b/>
        </w:rPr>
        <w:t xml:space="preserve">Phase 4 – Consolidation (Months 10–12): </w:t>
      </w:r>
      <w:r>
        <w:t>Outcome assessment, learning, sustainability planning, partnership development and scale-up recommendations.</w:t>
      </w:r>
    </w:p>
    <w:p>
      <w:r>
        <w:br w:type="page"/>
      </w:r>
    </w:p>
    <w:p>
      <w:pPr>
        <w:pStyle w:val="Heading1"/>
      </w:pPr>
      <w:r>
        <w:t>6. What are the main 12-month targets?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93D"/>
          </w:tcPr>
          <w:p>
            <w:r/>
            <w:r>
              <w:rPr>
                <w:rFonts w:ascii="Arial" w:hAnsi="Arial"/>
                <w:b/>
                <w:sz w:val="16"/>
              </w:rPr>
              <w:t>Indicator</w:t>
            </w:r>
          </w:p>
        </w:tc>
        <w:tc>
          <w:tcPr>
            <w:tcW w:type="dxa" w:w="5184"/>
            <w:vAlign w:val="center"/>
            <w:shd w:fill="1F693D"/>
          </w:tcPr>
          <w:p>
            <w:r/>
            <w:r>
              <w:rPr>
                <w:rFonts w:ascii="Arial" w:hAnsi="Arial"/>
                <w:b/>
                <w:sz w:val="16"/>
              </w:rPr>
              <w:t>Proposed 12-Month Target</w:t>
            </w:r>
          </w:p>
        </w:tc>
      </w:tr>
      <w:tr>
        <w:tc>
          <w:tcPr>
            <w:tcW w:type="dxa" w:w="5184"/>
            <w:vAlign w:val="center"/>
          </w:tcPr>
          <w:p>
            <w:r/>
            <w:r>
              <w:rPr>
                <w:rFonts w:ascii="Arial" w:hAnsi="Arial"/>
                <w:b w:val="0"/>
                <w:sz w:val="16"/>
              </w:rPr>
              <w:t>Priority communities mapped and engaged</w:t>
            </w:r>
          </w:p>
        </w:tc>
        <w:tc>
          <w:tcPr>
            <w:tcW w:type="dxa" w:w="5184"/>
            <w:vAlign w:val="center"/>
          </w:tcPr>
          <w:p>
            <w:r/>
            <w:r>
              <w:rPr>
                <w:rFonts w:ascii="Arial" w:hAnsi="Arial"/>
                <w:b w:val="0"/>
                <w:sz w:val="16"/>
              </w:rPr>
              <w:t>At least 12</w:t>
            </w:r>
          </w:p>
        </w:tc>
      </w:tr>
      <w:tr>
        <w:tc>
          <w:tcPr>
            <w:tcW w:type="dxa" w:w="5184"/>
            <w:vAlign w:val="center"/>
          </w:tcPr>
          <w:p>
            <w:r/>
            <w:r>
              <w:rPr>
                <w:rFonts w:ascii="Arial" w:hAnsi="Arial"/>
                <w:b w:val="0"/>
                <w:sz w:val="16"/>
              </w:rPr>
              <w:t>VHTs/CHWs oriented</w:t>
            </w:r>
          </w:p>
        </w:tc>
        <w:tc>
          <w:tcPr>
            <w:tcW w:type="dxa" w:w="5184"/>
            <w:vAlign w:val="center"/>
          </w:tcPr>
          <w:p>
            <w:r/>
            <w:r>
              <w:rPr>
                <w:rFonts w:ascii="Arial" w:hAnsi="Arial"/>
                <w:b w:val="0"/>
                <w:sz w:val="16"/>
              </w:rPr>
              <w:t>At least 30</w:t>
            </w:r>
          </w:p>
        </w:tc>
      </w:tr>
      <w:tr>
        <w:tc>
          <w:tcPr>
            <w:tcW w:type="dxa" w:w="5184"/>
            <w:vAlign w:val="center"/>
          </w:tcPr>
          <w:p>
            <w:r/>
            <w:r>
              <w:rPr>
                <w:rFonts w:ascii="Arial" w:hAnsi="Arial"/>
                <w:b w:val="0"/>
                <w:sz w:val="16"/>
              </w:rPr>
              <w:t>Community members reached through education/mobilisation</w:t>
            </w:r>
          </w:p>
        </w:tc>
        <w:tc>
          <w:tcPr>
            <w:tcW w:type="dxa" w:w="5184"/>
            <w:vAlign w:val="center"/>
          </w:tcPr>
          <w:p>
            <w:r/>
            <w:r>
              <w:rPr>
                <w:rFonts w:ascii="Arial" w:hAnsi="Arial"/>
                <w:b w:val="0"/>
                <w:sz w:val="16"/>
              </w:rPr>
              <w:t>At least 6,000</w:t>
            </w:r>
          </w:p>
        </w:tc>
      </w:tr>
      <w:tr>
        <w:tc>
          <w:tcPr>
            <w:tcW w:type="dxa" w:w="5184"/>
            <w:vAlign w:val="center"/>
          </w:tcPr>
          <w:p>
            <w:r/>
            <w:r>
              <w:rPr>
                <w:rFonts w:ascii="Arial" w:hAnsi="Arial"/>
                <w:b w:val="0"/>
                <w:sz w:val="16"/>
              </w:rPr>
              <w:t>Individuals screened</w:t>
            </w:r>
          </w:p>
        </w:tc>
        <w:tc>
          <w:tcPr>
            <w:tcW w:type="dxa" w:w="5184"/>
            <w:vAlign w:val="center"/>
          </w:tcPr>
          <w:p>
            <w:r/>
            <w:r>
              <w:rPr>
                <w:rFonts w:ascii="Arial" w:hAnsi="Arial"/>
                <w:b w:val="0"/>
                <w:sz w:val="16"/>
              </w:rPr>
              <w:t>At least 2,000</w:t>
            </w:r>
          </w:p>
        </w:tc>
      </w:tr>
      <w:tr>
        <w:tc>
          <w:tcPr>
            <w:tcW w:type="dxa" w:w="5184"/>
            <w:vAlign w:val="center"/>
          </w:tcPr>
          <w:p>
            <w:r/>
            <w:r>
              <w:rPr>
                <w:rFonts w:ascii="Arial" w:hAnsi="Arial"/>
                <w:b w:val="0"/>
                <w:sz w:val="16"/>
              </w:rPr>
              <w:t>Individuals identified for further assessment/referral</w:t>
            </w:r>
          </w:p>
        </w:tc>
        <w:tc>
          <w:tcPr>
            <w:tcW w:type="dxa" w:w="5184"/>
            <w:vAlign w:val="center"/>
          </w:tcPr>
          <w:p>
            <w:r/>
            <w:r>
              <w:rPr>
                <w:rFonts w:ascii="Arial" w:hAnsi="Arial"/>
                <w:b w:val="0"/>
                <w:sz w:val="16"/>
              </w:rPr>
              <w:t>At least 300</w:t>
            </w:r>
          </w:p>
        </w:tc>
      </w:tr>
      <w:tr>
        <w:tc>
          <w:tcPr>
            <w:tcW w:type="dxa" w:w="5184"/>
            <w:vAlign w:val="center"/>
          </w:tcPr>
          <w:p>
            <w:r/>
            <w:r>
              <w:rPr>
                <w:rFonts w:ascii="Arial" w:hAnsi="Arial"/>
                <w:b w:val="0"/>
                <w:sz w:val="16"/>
              </w:rPr>
              <w:t>Referrals initiated and tracked</w:t>
            </w:r>
          </w:p>
        </w:tc>
        <w:tc>
          <w:tcPr>
            <w:tcW w:type="dxa" w:w="5184"/>
            <w:vAlign w:val="center"/>
          </w:tcPr>
          <w:p>
            <w:r/>
            <w:r>
              <w:rPr>
                <w:rFonts w:ascii="Arial" w:hAnsi="Arial"/>
                <w:b w:val="0"/>
                <w:sz w:val="16"/>
              </w:rPr>
              <w:t>At least 300</w:t>
            </w:r>
          </w:p>
        </w:tc>
      </w:tr>
      <w:tr>
        <w:tc>
          <w:tcPr>
            <w:tcW w:type="dxa" w:w="5184"/>
            <w:vAlign w:val="center"/>
          </w:tcPr>
          <w:p>
            <w:r/>
            <w:r>
              <w:rPr>
                <w:rFonts w:ascii="Arial" w:hAnsi="Arial"/>
                <w:b w:val="0"/>
                <w:sz w:val="16"/>
              </w:rPr>
              <w:t>Completion of trackable referrals</w:t>
            </w:r>
          </w:p>
        </w:tc>
        <w:tc>
          <w:tcPr>
            <w:tcW w:type="dxa" w:w="5184"/>
            <w:vAlign w:val="center"/>
          </w:tcPr>
          <w:p>
            <w:r/>
            <w:r>
              <w:rPr>
                <w:rFonts w:ascii="Arial" w:hAnsi="Arial"/>
                <w:b w:val="0"/>
                <w:sz w:val="16"/>
              </w:rPr>
              <w:t>At least 70%</w:t>
            </w:r>
          </w:p>
        </w:tc>
      </w:tr>
      <w:tr>
        <w:tc>
          <w:tcPr>
            <w:tcW w:type="dxa" w:w="5184"/>
            <w:vAlign w:val="center"/>
          </w:tcPr>
          <w:p>
            <w:r/>
            <w:r>
              <w:rPr>
                <w:rFonts w:ascii="Arial" w:hAnsi="Arial"/>
                <w:b w:val="0"/>
                <w:sz w:val="16"/>
              </w:rPr>
              <w:t>Documented follow-up contacts</w:t>
            </w:r>
          </w:p>
        </w:tc>
        <w:tc>
          <w:tcPr>
            <w:tcW w:type="dxa" w:w="5184"/>
            <w:vAlign w:val="center"/>
          </w:tcPr>
          <w:p>
            <w:r/>
            <w:r>
              <w:rPr>
                <w:rFonts w:ascii="Arial" w:hAnsi="Arial"/>
                <w:b w:val="0"/>
                <w:sz w:val="16"/>
              </w:rPr>
              <w:t>At least 500</w:t>
            </w:r>
          </w:p>
        </w:tc>
      </w:tr>
      <w:tr>
        <w:tc>
          <w:tcPr>
            <w:tcW w:type="dxa" w:w="5184"/>
            <w:vAlign w:val="center"/>
          </w:tcPr>
          <w:p>
            <w:r/>
            <w:r>
              <w:rPr>
                <w:rFonts w:ascii="Arial" w:hAnsi="Arial"/>
                <w:b w:val="0"/>
                <w:sz w:val="16"/>
              </w:rPr>
              <w:t>Structured community health education sessions</w:t>
            </w:r>
          </w:p>
        </w:tc>
        <w:tc>
          <w:tcPr>
            <w:tcW w:type="dxa" w:w="5184"/>
            <w:vAlign w:val="center"/>
          </w:tcPr>
          <w:p>
            <w:r/>
            <w:r>
              <w:rPr>
                <w:rFonts w:ascii="Arial" w:hAnsi="Arial"/>
                <w:b w:val="0"/>
                <w:sz w:val="16"/>
              </w:rPr>
              <w:t>At least 48</w:t>
            </w:r>
          </w:p>
        </w:tc>
      </w:tr>
      <w:tr>
        <w:tc>
          <w:tcPr>
            <w:tcW w:type="dxa" w:w="5184"/>
            <w:vAlign w:val="center"/>
          </w:tcPr>
          <w:p>
            <w:r/>
            <w:r>
              <w:rPr>
                <w:rFonts w:ascii="Arial" w:hAnsi="Arial"/>
                <w:b w:val="0"/>
                <w:sz w:val="16"/>
              </w:rPr>
              <w:t>Programme reviews</w:t>
            </w:r>
          </w:p>
        </w:tc>
        <w:tc>
          <w:tcPr>
            <w:tcW w:type="dxa" w:w="5184"/>
            <w:vAlign w:val="center"/>
          </w:tcPr>
          <w:p>
            <w:r/>
            <w:r>
              <w:rPr>
                <w:rFonts w:ascii="Arial" w:hAnsi="Arial"/>
                <w:b w:val="0"/>
                <w:sz w:val="16"/>
              </w:rPr>
              <w:t>Quarterly, plus endline assessment</w:t>
            </w:r>
          </w:p>
        </w:tc>
      </w:tr>
    </w:tbl>
    <w:p>
      <w:r>
        <w:t>These are proposed planning targets and are intended to be validated during project inception and baseline. They are not historical achievements.</w:t>
      </w:r>
    </w:p>
    <w:p>
      <w:pPr>
        <w:pStyle w:val="Heading1"/>
      </w:pPr>
      <w:r>
        <w:t>7. What will your role in the project mean?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693D"/>
          </w:tcPr>
          <w:p>
            <w:r/>
            <w:r>
              <w:rPr>
                <w:rFonts w:ascii="Arial" w:hAnsi="Arial"/>
                <w:b/>
                <w:sz w:val="16"/>
              </w:rPr>
              <w:t>Role</w:t>
            </w:r>
          </w:p>
        </w:tc>
        <w:tc>
          <w:tcPr>
            <w:tcW w:type="dxa" w:w="3456"/>
            <w:vAlign w:val="center"/>
            <w:shd w:fill="1F693D"/>
          </w:tcPr>
          <w:p>
            <w:r/>
            <w:r>
              <w:rPr>
                <w:rFonts w:ascii="Arial" w:hAnsi="Arial"/>
                <w:b/>
                <w:sz w:val="16"/>
              </w:rPr>
              <w:t>Main Responsibilities</w:t>
            </w:r>
          </w:p>
        </w:tc>
        <w:tc>
          <w:tcPr>
            <w:tcW w:type="dxa" w:w="3456"/>
            <w:vAlign w:val="center"/>
            <w:shd w:fill="1F693D"/>
          </w:tcPr>
          <w:p>
            <w:r/>
            <w:r>
              <w:rPr>
                <w:rFonts w:ascii="Arial" w:hAnsi="Arial"/>
                <w:b/>
                <w:sz w:val="16"/>
              </w:rPr>
              <w:t>What to Highlight in Your CV</w:t>
            </w:r>
          </w:p>
        </w:tc>
      </w:tr>
      <w:tr>
        <w:tc>
          <w:tcPr>
            <w:tcW w:type="dxa" w:w="3456"/>
            <w:vAlign w:val="center"/>
          </w:tcPr>
          <w:p>
            <w:r/>
            <w:r>
              <w:rPr>
                <w:rFonts w:ascii="Arial" w:hAnsi="Arial"/>
                <w:b/>
                <w:sz w:val="15"/>
              </w:rPr>
              <w:t>Executive Oversight / Project Sponsor – Racheal</w:t>
            </w:r>
          </w:p>
        </w:tc>
        <w:tc>
          <w:tcPr>
            <w:tcW w:type="dxa" w:w="3456"/>
            <w:vAlign w:val="center"/>
          </w:tcPr>
          <w:p>
            <w:r/>
            <w:r>
              <w:rPr>
                <w:rFonts w:ascii="Arial" w:hAnsi="Arial"/>
                <w:b w:val="0"/>
                <w:sz w:val="15"/>
              </w:rPr>
              <w:t>Strategic leadership, governance, funder accountability and partnerships.</w:t>
            </w:r>
          </w:p>
        </w:tc>
        <w:tc>
          <w:tcPr>
            <w:tcW w:type="dxa" w:w="3456"/>
            <w:vAlign w:val="center"/>
          </w:tcPr>
          <w:p>
            <w:r/>
            <w:r>
              <w:rPr>
                <w:rFonts w:ascii="Arial" w:hAnsi="Arial"/>
                <w:b w:val="0"/>
                <w:sz w:val="15"/>
              </w:rPr>
              <w:t>Senior management, organisational leadership, governance, partnerships and oversight.</w:t>
            </w:r>
          </w:p>
        </w:tc>
      </w:tr>
      <w:tr>
        <w:tc>
          <w:tcPr>
            <w:tcW w:type="dxa" w:w="3456"/>
            <w:vAlign w:val="center"/>
          </w:tcPr>
          <w:p>
            <w:r/>
            <w:r>
              <w:rPr>
                <w:rFonts w:ascii="Arial" w:hAnsi="Arial"/>
                <w:b/>
                <w:sz w:val="15"/>
              </w:rPr>
              <w:t>Project Lead / Coordinator – Dr. Aliku</w:t>
            </w:r>
          </w:p>
        </w:tc>
        <w:tc>
          <w:tcPr>
            <w:tcW w:type="dxa" w:w="3456"/>
            <w:vAlign w:val="center"/>
          </w:tcPr>
          <w:p>
            <w:r/>
            <w:r>
              <w:rPr>
                <w:rFonts w:ascii="Arial" w:hAnsi="Arial"/>
                <w:b w:val="0"/>
                <w:sz w:val="15"/>
              </w:rPr>
              <w:t>Day-to-day coordination, planning, workplan delivery and reporting.</w:t>
            </w:r>
          </w:p>
        </w:tc>
        <w:tc>
          <w:tcPr>
            <w:tcW w:type="dxa" w:w="3456"/>
            <w:vAlign w:val="center"/>
          </w:tcPr>
          <w:p>
            <w:r/>
            <w:r>
              <w:rPr>
                <w:rFonts w:ascii="Arial" w:hAnsi="Arial"/>
                <w:b w:val="0"/>
                <w:sz w:val="15"/>
              </w:rPr>
              <w:t>Project/programme coordination, planning, stakeholder management and reporting.</w:t>
            </w:r>
          </w:p>
        </w:tc>
      </w:tr>
      <w:tr>
        <w:tc>
          <w:tcPr>
            <w:tcW w:type="dxa" w:w="3456"/>
            <w:vAlign w:val="center"/>
          </w:tcPr>
          <w:p>
            <w:r/>
            <w:r>
              <w:rPr>
                <w:rFonts w:ascii="Arial" w:hAnsi="Arial"/>
                <w:b/>
                <w:sz w:val="15"/>
              </w:rPr>
              <w:t>Clinical Lead – Dr. Alia</w:t>
            </w:r>
          </w:p>
        </w:tc>
        <w:tc>
          <w:tcPr>
            <w:tcW w:type="dxa" w:w="3456"/>
            <w:vAlign w:val="center"/>
          </w:tcPr>
          <w:p>
            <w:r/>
            <w:r>
              <w:rPr>
                <w:rFonts w:ascii="Arial" w:hAnsi="Arial"/>
                <w:b w:val="0"/>
                <w:sz w:val="15"/>
              </w:rPr>
              <w:t>Clinical quality, screening/referral protocols, linkage to care and patient safety.</w:t>
            </w:r>
          </w:p>
        </w:tc>
        <w:tc>
          <w:tcPr>
            <w:tcW w:type="dxa" w:w="3456"/>
            <w:vAlign w:val="center"/>
          </w:tcPr>
          <w:p>
            <w:r/>
            <w:r>
              <w:rPr>
                <w:rFonts w:ascii="Arial" w:hAnsi="Arial"/>
                <w:b w:val="0"/>
                <w:sz w:val="15"/>
              </w:rPr>
              <w:t>Relevant clinical qualifications, clinical leadership, referral, quality assurance and service delivery.</w:t>
            </w:r>
          </w:p>
        </w:tc>
      </w:tr>
      <w:tr>
        <w:tc>
          <w:tcPr>
            <w:tcW w:type="dxa" w:w="3456"/>
            <w:vAlign w:val="center"/>
          </w:tcPr>
          <w:p>
            <w:r/>
            <w:r>
              <w:rPr>
                <w:rFonts w:ascii="Arial" w:hAnsi="Arial"/>
                <w:b/>
                <w:sz w:val="15"/>
              </w:rPr>
              <w:t>Community Mobilisation Lead – Diana Kamali</w:t>
            </w:r>
          </w:p>
        </w:tc>
        <w:tc>
          <w:tcPr>
            <w:tcW w:type="dxa" w:w="3456"/>
            <w:vAlign w:val="center"/>
          </w:tcPr>
          <w:p>
            <w:r/>
            <w:r>
              <w:rPr>
                <w:rFonts w:ascii="Arial" w:hAnsi="Arial"/>
                <w:b w:val="0"/>
                <w:sz w:val="15"/>
              </w:rPr>
              <w:t>Community engagement, stakeholder mobilisation and VHT/CHW coordination.</w:t>
            </w:r>
          </w:p>
        </w:tc>
        <w:tc>
          <w:tcPr>
            <w:tcW w:type="dxa" w:w="3456"/>
            <w:vAlign w:val="center"/>
          </w:tcPr>
          <w:p>
            <w:r/>
            <w:r>
              <w:rPr>
                <w:rFonts w:ascii="Arial" w:hAnsi="Arial"/>
                <w:b w:val="0"/>
                <w:sz w:val="15"/>
              </w:rPr>
              <w:t>Community outreach, stakeholder engagement, mobilisation, sensitisation and supervision.</w:t>
            </w:r>
          </w:p>
        </w:tc>
      </w:tr>
      <w:tr>
        <w:tc>
          <w:tcPr>
            <w:tcW w:type="dxa" w:w="3456"/>
            <w:vAlign w:val="center"/>
          </w:tcPr>
          <w:p>
            <w:r/>
            <w:r>
              <w:rPr>
                <w:rFonts w:ascii="Arial" w:hAnsi="Arial"/>
                <w:b/>
                <w:sz w:val="15"/>
              </w:rPr>
              <w:t>M&amp;E / Data Lead – Wasswa Wilson</w:t>
            </w:r>
          </w:p>
        </w:tc>
        <w:tc>
          <w:tcPr>
            <w:tcW w:type="dxa" w:w="3456"/>
            <w:vAlign w:val="center"/>
          </w:tcPr>
          <w:p>
            <w:r/>
            <w:r>
              <w:rPr>
                <w:rFonts w:ascii="Arial" w:hAnsi="Arial"/>
                <w:b w:val="0"/>
                <w:sz w:val="15"/>
              </w:rPr>
              <w:t>Indicators, data quality, FCHIP, analysis, reporting and learning.</w:t>
            </w:r>
          </w:p>
        </w:tc>
        <w:tc>
          <w:tcPr>
            <w:tcW w:type="dxa" w:w="3456"/>
            <w:vAlign w:val="center"/>
          </w:tcPr>
          <w:p>
            <w:r/>
            <w:r>
              <w:rPr>
                <w:rFonts w:ascii="Arial" w:hAnsi="Arial"/>
                <w:b w:val="0"/>
                <w:sz w:val="15"/>
              </w:rPr>
              <w:t>M&amp;E, data management, analysis, digital tools, dashboards and reporting.</w:t>
            </w:r>
          </w:p>
        </w:tc>
      </w:tr>
      <w:tr>
        <w:tc>
          <w:tcPr>
            <w:tcW w:type="dxa" w:w="3456"/>
            <w:vAlign w:val="center"/>
          </w:tcPr>
          <w:p>
            <w:r/>
            <w:r>
              <w:rPr>
                <w:rFonts w:ascii="Arial" w:hAnsi="Arial"/>
                <w:b/>
                <w:sz w:val="15"/>
              </w:rPr>
              <w:t>Finance / Administration Lead – Joseph Karamagi</w:t>
            </w:r>
          </w:p>
        </w:tc>
        <w:tc>
          <w:tcPr>
            <w:tcW w:type="dxa" w:w="3456"/>
            <w:vAlign w:val="center"/>
          </w:tcPr>
          <w:p>
            <w:r/>
            <w:r>
              <w:rPr>
                <w:rFonts w:ascii="Arial" w:hAnsi="Arial"/>
                <w:b w:val="0"/>
                <w:sz w:val="15"/>
              </w:rPr>
              <w:t>Budget control, procurement, records and financial reporting.</w:t>
            </w:r>
          </w:p>
        </w:tc>
        <w:tc>
          <w:tcPr>
            <w:tcW w:type="dxa" w:w="3456"/>
            <w:vAlign w:val="center"/>
          </w:tcPr>
          <w:p>
            <w:r/>
            <w:r>
              <w:rPr>
                <w:rFonts w:ascii="Arial" w:hAnsi="Arial"/>
                <w:b w:val="0"/>
                <w:sz w:val="15"/>
              </w:rPr>
              <w:t>Finance/admin, procurement, controls, documentation and reporting.</w:t>
            </w:r>
          </w:p>
        </w:tc>
      </w:tr>
    </w:tbl>
    <w:p>
      <w:pPr>
        <w:pStyle w:val="Heading1"/>
      </w:pPr>
      <w:r>
        <w:t>8. How your CV should connect to the project</w:t>
      </w:r>
    </w:p>
    <w:p>
      <w:r>
        <w:t>Your CV does not need to say that you have already implemented FCHR. Instead, show the previous experience, skills and qualifications that demonstrate you can perform the responsibilities assigned to you.</w:t>
      </w:r>
    </w:p>
    <w:p>
      <w:pPr>
        <w:pStyle w:val="ListBullet"/>
      </w:pPr>
      <w:r>
        <w:t>Identify 3–5 experiences most relevant to your proposed project role.</w:t>
      </w:r>
    </w:p>
    <w:p>
      <w:pPr>
        <w:pStyle w:val="ListBullet"/>
      </w:pPr>
      <w:r>
        <w:t>Show what you actually did—not just the organisation or project name.</w:t>
      </w:r>
    </w:p>
    <w:p>
      <w:pPr>
        <w:pStyle w:val="ListBullet"/>
      </w:pPr>
      <w:r>
        <w:t>Where possible, include measurable responsibilities or results.</w:t>
      </w:r>
    </w:p>
    <w:p>
      <w:pPr>
        <w:pStyle w:val="ListBullet"/>
      </w:pPr>
      <w:r>
        <w:t>Use accurate dates and current job information.</w:t>
      </w:r>
    </w:p>
    <w:p>
      <w:pPr>
        <w:pStyle w:val="ListBullet"/>
      </w:pPr>
      <w:r>
        <w:t>Include qualifications and professional registration relevant to the role.</w:t>
      </w:r>
    </w:p>
    <w:p>
      <w:pPr>
        <w:pStyle w:val="ListBullet"/>
      </w:pPr>
      <w:r>
        <w:t>Do not invent FCHR experience, project achievements or future results.</w:t>
      </w:r>
    </w:p>
    <w:p>
      <w:pPr>
        <w:pStyle w:val="Heading1"/>
      </w:pPr>
      <w:r>
        <w:t>9. Example of a good project-relevant CV statement</w:t>
      </w:r>
    </w:p>
    <w:p>
      <w:r>
        <w:t>Example: “Coordinated community health mobilisation activities with local leaders and VHTs, supported household identification, maintained activity records and followed up referrals to improve linkage between communities and health services.”</w:t>
      </w:r>
    </w:p>
    <w:p>
      <w:r>
        <w:t>Use this only as a writing example. Each person's CV should describe their own real experience.</w:t>
      </w:r>
    </w:p>
    <w:p>
      <w:pPr>
        <w:pStyle w:val="Heading1"/>
      </w:pPr>
      <w:r>
        <w:t>10. Key project documents you should understand</w:t>
      </w:r>
    </w:p>
    <w:p>
      <w:pPr>
        <w:pStyle w:val="ListBullet"/>
      </w:pPr>
      <w:r>
        <w:t>Full WA Foundation Category 2 Project Proposal – your role should align with its activities and implementation plan.</w:t>
      </w:r>
    </w:p>
    <w:p>
      <w:pPr>
        <w:pStyle w:val="ListBullet"/>
      </w:pPr>
      <w:r>
        <w:t>Strategic Community Engagement Plan – explains the community stakeholder engagement approach.</w:t>
      </w:r>
    </w:p>
    <w:p>
      <w:pPr>
        <w:pStyle w:val="ListBullet"/>
      </w:pPr>
      <w:r>
        <w:t>12-Week Strategic Community Engagement Gantt – shows the practical stakeholder engagement sequence.</w:t>
      </w:r>
    </w:p>
    <w:p>
      <w:pPr>
        <w:pStyle w:val="ListBullet"/>
      </w:pPr>
      <w:r>
        <w:t>12-Month Project Gantt – shows how community engagement fits into the wider 12-month project.</w:t>
      </w:r>
    </w:p>
    <w:p>
      <w:pPr>
        <w:pStyle w:val="ListBullet"/>
      </w:pPr>
      <w:r>
        <w:t>Annex 6 CV Template – the form you will complete.</w:t>
      </w:r>
    </w:p>
    <w:p>
      <w:pPr>
        <w:pStyle w:val="Heading1"/>
      </w:pPr>
      <w:r>
        <w:t>11. Final message to project personnel</w:t>
      </w:r>
    </w:p>
    <w:p>
      <w:r>
        <w:t>You are being included because FairBanks expects your experience and responsibilities to contribute to the delivery of the project. The purpose of the CV is not to make you appear to have done work you have not done. It is to help the donor understand who will be responsible for implementation and why each person is suitably positioned to contribute.</w:t>
      </w:r>
    </w:p>
    <w:p>
      <w:pPr>
        <w:jc w:val="center"/>
      </w:pPr>
      <w:r>
        <w:rPr>
          <w:i/>
          <w:sz w:val="16"/>
        </w:rPr>
        <w:t>FairBanks Medical Centre Limited | "Your Health, Our Mission"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9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9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9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