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553"/>
        <w:gridCol w:w="5553"/>
      </w:tblGrid>
      <w:tr>
        <w:tc>
          <w:tcPr>
            <w:tcW w:type="dxa" w:w="3175"/>
            <w:shd w:fill="0A3A52" w:val="clea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0" cy="1143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circl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43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60"/>
            </w:pPr>
            <w:r>
              <w:rPr>
                <w:rFonts w:ascii="Calibri" w:hAnsi="Calibri" w:eastAsia="Calibri"/>
                <w:b/>
                <w:color w:val="B8953E"/>
                <w:sz w:val="17"/>
              </w:rPr>
              <w:t>CONTACT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6"/>
              </w:rPr>
              <w:t>Kampala, Uganda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6"/>
              </w:rPr>
              <w:t>+256 772 849258  ·  +256 701 849258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6"/>
              </w:rPr>
              <w:t>info@fairbanksmedicalcentre.org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6"/>
              </w:rPr>
              <w:t>www.fairbanksmedicalcentre.org</w:t>
            </w:r>
          </w:p>
          <w:p>
            <w:pPr>
              <w:spacing w:before="160"/>
            </w:pPr>
            <w:r>
              <w:rPr>
                <w:rFonts w:ascii="Calibri" w:hAnsi="Calibri" w:eastAsia="Calibri"/>
                <w:b/>
                <w:color w:val="B8953E"/>
                <w:sz w:val="17"/>
              </w:rPr>
              <w:t>STRENGTHS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6"/>
              </w:rPr>
              <w:t>• HR Strategy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6"/>
              </w:rPr>
              <w:t>• Organisational Development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6"/>
              </w:rPr>
              <w:t>• Talent Management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6"/>
              </w:rPr>
              <w:t>• Workforce Planning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6"/>
              </w:rPr>
              <w:t>• Change Management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6"/>
              </w:rPr>
              <w:t>• Performance Management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6"/>
              </w:rPr>
              <w:t>• Employee Relations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6"/>
              </w:rPr>
              <w:t>• Corporate Governance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6"/>
              </w:rPr>
              <w:t>• Leadership Development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6"/>
              </w:rPr>
              <w:t>• HR Analytics / HRIS</w:t>
            </w:r>
          </w:p>
          <w:p>
            <w:pPr>
              <w:spacing w:before="160"/>
            </w:pPr>
            <w:r>
              <w:rPr>
                <w:rFonts w:ascii="Calibri" w:hAnsi="Calibri" w:eastAsia="Calibri"/>
                <w:b/>
                <w:color w:val="B8953E"/>
                <w:sz w:val="17"/>
              </w:rPr>
              <w:t>LANGUAGES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6"/>
              </w:rPr>
              <w:t>English — Fluent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6"/>
              </w:rPr>
              <w:t>Luganda — Fluent</w:t>
            </w:r>
          </w:p>
          <w:p>
            <w:pPr>
              <w:spacing w:before="160"/>
            </w:pPr>
            <w:r>
              <w:rPr>
                <w:rFonts w:ascii="Calibri" w:hAnsi="Calibri" w:eastAsia="Calibri"/>
                <w:b/>
                <w:color w:val="B8953E"/>
                <w:sz w:val="17"/>
              </w:rPr>
              <w:t>MEMBERSHIP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6"/>
              </w:rPr>
              <w:t>FUE Member</w:t>
            </w:r>
          </w:p>
        </w:tc>
        <w:tc>
          <w:tcPr>
            <w:tcW w:type="dxa" w:w="7824"/>
          </w:tcPr>
          <w:p>
            <w:r>
              <w:rPr>
                <w:rFonts w:ascii="Calibri" w:hAnsi="Calibri" w:eastAsia="Calibri"/>
                <w:b/>
                <w:color w:val="0A3A52"/>
                <w:sz w:val="26"/>
              </w:rPr>
              <w:t>RACHEAL NABUKEERA SEKAGIRI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8"/>
              </w:rPr>
              <w:t>Senior Human Resource Executive  ·  Human Capital Strategist</w:t>
            </w:r>
          </w:p>
          <w:p>
            <w:pPr>
              <w:spacing w:before="160" w:after="60"/>
              <w:pBdr>
                <w:bottom w:val="single" w:sz="10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8"/>
              </w:rPr>
              <w:t>PROFILE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 w:val="0"/>
                <w:color w:val="1F2A37"/>
                <w:sz w:val="18"/>
              </w:rPr>
              <w:t>Strategic HR executive with nearly 30 years of experience and over 18 years in executive leadership. Aligns people strategy with organisational performance. Founder &amp; Managing Director, FairBanks Medical Centre Ltd. Formerly led Group HR for 2,000+ employees across 50+ units. PhD Candidate researching AI prediction of occupational burnout.</w:t>
            </w:r>
          </w:p>
          <w:p>
            <w:pPr>
              <w:spacing w:before="160" w:after="60"/>
              <w:pBdr>
                <w:bottom w:val="single" w:sz="10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8"/>
              </w:rPr>
              <w:t>HIGHLIGHTS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7"/>
              </w:rPr>
              <w:t>30 years progressive HR &amp; executive management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7"/>
              </w:rPr>
              <w:t>18+ years executive Human Resource leadership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7"/>
              </w:rPr>
              <w:t>HR leadership for 2,000+ staff across 50+ units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7"/>
              </w:rPr>
              <w:t>Founder &amp; MD, FairBanks Medical Centre Ltd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7"/>
              </w:rPr>
              <w:t>Social enterprise reach: 10,000+ beneficiaries</w:t>
            </w:r>
          </w:p>
          <w:p>
            <w:pPr>
              <w:spacing w:before="160" w:after="60"/>
              <w:pBdr>
                <w:bottom w:val="single" w:sz="10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8"/>
              </w:rPr>
              <w:t>EXPERIENCE</w:t>
            </w:r>
          </w:p>
          <w:p>
            <w:pPr>
              <w:spacing w:before="80"/>
            </w:pPr>
            <w:r>
              <w:rPr>
                <w:rFonts w:ascii="Calibri" w:hAnsi="Calibri" w:eastAsia="Calibri"/>
                <w:b/>
                <w:color w:val="0A3A52"/>
                <w:sz w:val="18"/>
              </w:rPr>
              <w:t>Founder, Managing Director &amp; Executive HR Leader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6"/>
              </w:rPr>
              <w:t>FairBanks Medical Centre Ltd | 2025 - Present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 w:val="0"/>
                <w:color w:val="1F2A37"/>
                <w:sz w:val="17"/>
              </w:rPr>
              <w:t>Strategy, governance, HR and growth; founded social enterprise (10,000+ beneficiaries).</w:t>
            </w:r>
          </w:p>
          <w:p>
            <w:pPr>
              <w:spacing w:before="80"/>
            </w:pPr>
            <w:r>
              <w:rPr>
                <w:rFonts w:ascii="Calibri" w:hAnsi="Calibri" w:eastAsia="Calibri"/>
                <w:b/>
                <w:color w:val="0A3A52"/>
                <w:sz w:val="18"/>
              </w:rPr>
              <w:t>Group Human Resource &amp; Administration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6"/>
              </w:rPr>
              <w:t>Norvik Group | Jul 2016 - Feb 2026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 w:val="0"/>
                <w:color w:val="1F2A37"/>
                <w:sz w:val="17"/>
              </w:rPr>
              <w:t>Directed Group HR for 2,000+ employees; led workforce planning and leadership development.</w:t>
            </w:r>
          </w:p>
          <w:p>
            <w:pPr>
              <w:spacing w:before="80"/>
            </w:pPr>
            <w:r>
              <w:rPr>
                <w:rFonts w:ascii="Calibri" w:hAnsi="Calibri" w:eastAsia="Calibri"/>
                <w:b/>
                <w:color w:val="0A3A52"/>
                <w:sz w:val="18"/>
              </w:rPr>
              <w:t>Human Resource &amp; Administration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6"/>
              </w:rPr>
              <w:t>Norvik Hospital Ltd | Sep 2013 - 2016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 w:val="0"/>
                <w:color w:val="1F2A37"/>
                <w:sz w:val="17"/>
              </w:rPr>
              <w:t>Led recruitment, employee relations, performance systems and HR policy.</w:t>
            </w:r>
          </w:p>
          <w:p>
            <w:pPr>
              <w:spacing w:before="80"/>
            </w:pPr>
            <w:r>
              <w:rPr>
                <w:rFonts w:ascii="Calibri" w:hAnsi="Calibri" w:eastAsia="Calibri"/>
                <w:b/>
                <w:color w:val="0A3A52"/>
                <w:sz w:val="18"/>
              </w:rPr>
              <w:t>Human Resource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6"/>
              </w:rPr>
              <w:t>St. Catherine's Hospital | 2007 - 2010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 w:val="0"/>
                <w:color w:val="1F2A37"/>
                <w:sz w:val="17"/>
              </w:rPr>
              <w:t>Managed HR operations, welfare and labour compliance.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 w:val="0"/>
                <w:color w:val="5B6B7C"/>
                <w:sz w:val="16"/>
              </w:rPr>
              <w:t>Earlier: Health Systems Administrator, St. Catherine's (2010-2013); HR Assistant, E Power Limited (1997-2000).</w:t>
            </w:r>
          </w:p>
          <w:p>
            <w:pPr>
              <w:spacing w:before="160" w:after="60"/>
              <w:pBdr>
                <w:bottom w:val="single" w:sz="10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8"/>
              </w:rPr>
              <w:t>EDUCATION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 w:val="0"/>
                <w:color w:val="1F2A37"/>
                <w:sz w:val="17"/>
              </w:rPr>
              <w:t>PhD Management (Ongoing), Uganda Christian University  ·  MSSPM, Makerere University  ·  BA Social Sciences, Makerere University</w:t>
            </w:r>
          </w:p>
        </w:tc>
      </w:tr>
    </w:tbl>
    <w:sectPr w:rsidR="00FC693F" w:rsidRPr="0006063C" w:rsidSect="00034616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