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88" w:lineRule="auto"/>
        <w:jc w:val="center"/>
      </w:pPr>
      <w:r>
        <w:rPr>
          <w:rFonts w:ascii="Calibri" w:hAnsi="Calibri" w:eastAsia="Calibri"/>
          <w:b/>
          <w:i w:val="0"/>
          <w:color w:val="0D6E6E"/>
          <w:sz w:val="24"/>
        </w:rPr>
        <w:t>AUDA-NEPAD Youth SRH Ambassadors Initiative 2026</w:t>
      </w:r>
    </w:p>
    <w:p>
      <w:pPr>
        <w:spacing w:after="240" w:before="0" w:line="288" w:lineRule="auto"/>
        <w:jc w:val="center"/>
      </w:pPr>
      <w:r>
        <w:rPr>
          <w:rFonts w:ascii="Calibri" w:hAnsi="Calibri" w:eastAsia="Calibri"/>
          <w:b w:val="0"/>
          <w:i w:val="0"/>
          <w:color w:val="3A4A54"/>
          <w:sz w:val="22"/>
        </w:rPr>
        <w:t>Win-Win Application Pack</w:t>
      </w:r>
    </w:p>
    <w:p>
      <w:pPr>
        <w:spacing w:after="80" w:before="0" w:line="288" w:lineRule="auto"/>
        <w:jc w:val="center"/>
      </w:pPr>
      <w:r>
        <w:rPr>
          <w:rFonts w:ascii="Calibri" w:hAnsi="Calibri" w:eastAsia="Calibri"/>
          <w:b/>
          <w:i w:val="0"/>
          <w:color w:val="0A1F2E"/>
          <w:sz w:val="44"/>
        </w:rPr>
        <w:t>Youth SRH Ambassadors for Community Health Intelligence</w:t>
      </w:r>
    </w:p>
    <w:p>
      <w:pPr>
        <w:spacing w:after="80" w:before="0" w:line="288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Advocacy and mobilisation powered by FairBanks community reach</w:t>
      </w:r>
    </w:p>
    <w:p>
      <w:pPr>
        <w:spacing w:after="200" w:before="0" w:line="288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05224" cy="292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hero_cinematic_op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5224" cy="292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FairBanks Community Reach — Health for All — Obulamu eri Bonna · Afya kwa Wote · Oburamu bwa Boona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04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6912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Applicant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Eligible FairBanks youth (18–35) — Uganda · voluntary ambassador role</w:t>
            </w:r>
          </w:p>
        </w:tc>
      </w:tr>
      <w:tr>
        <w:tc>
          <w:tcPr>
            <w:tcW w:type="dxa" w:w="230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Programme</w:t>
            </w:r>
          </w:p>
        </w:tc>
        <w:tc>
          <w:tcPr>
            <w:tcW w:type="dxa" w:w="691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AUDA-NEPAD Youth SRH Ambassadors Initiative 2026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Deadline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17 July 2026 (closing)</w:t>
            </w:r>
          </w:p>
        </w:tc>
      </w:tr>
      <w:tr>
        <w:tc>
          <w:tcPr>
            <w:tcW w:type="dxa" w:w="230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Geography</w:t>
            </w:r>
          </w:p>
        </w:tc>
        <w:tc>
          <w:tcPr>
            <w:tcW w:type="dxa" w:w="691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Uganda · African Union youth SRH network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The ask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Appoint FairBanks youth as AUDA-NEPAD Youth SRH Ambassadors.</w:t>
            </w:r>
          </w:p>
        </w:tc>
      </w:tr>
    </w:tbl>
    <w:p/>
    <w:p>
      <w:pPr>
        <w:spacing w:after="120" w:before="0" w:line="288" w:lineRule="auto"/>
        <w:jc w:val="center"/>
      </w:pPr>
      <w:r>
        <w:rPr>
          <w:rFonts w:ascii="Calibri" w:hAnsi="Calibri" w:eastAsia="Calibri"/>
          <w:b w:val="0"/>
          <w:i w:val="0"/>
          <w:color w:val="0D6E6E"/>
          <w:sz w:val="16"/>
        </w:rPr>
        <w:t>https://opportunitiesforyouth.org/2026/06/13/african-union-youth-srh-ambassadors-initiative-2026-apply-to-become-an-auda-nepad-youth-srh-ambassador/</w:t>
      </w:r>
    </w:p>
    <w:p>
      <w:r>
        <w:br w:type="page"/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1. Executive Summary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AUDA-NEPAD is recruiting young Africans as voluntary Sexual and Reproductive Health ambassadors for advocacy, awareness, and community mobilisation.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already runs community outreach that touches adolescent and maternal health — so our youth can amplify AU messages with real community channels.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/>
          <w:i w:val="0"/>
          <w:color w:val="1E2F38"/>
          <w:sz w:val="22"/>
        </w:rPr>
        <w:t>This is a win-win: ambassadors gain recognition and training; AUDA-NEPAD gains Uganda-based advocates with digital presence and field access.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2. Win-Win Value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This application is designed as a true partnership: FairBanks grows capacity and reach; the programme advances its own mission with a grounded African health-tech partner.</w:t>
      </w:r>
    </w:p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2.1 What FairBanks / FCHIP gains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Continental recognition and mentorship for FairBanks youth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Training that strengthens our adolescent and maternal health messaging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Network access across African Union youth health spaces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Sponsored participation opportunities in selected events</w:t>
      </w:r>
    </w:p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2.2 What the programme / partners gain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Ambassadors embedded in a live community health organisation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Channels to CHWs, schools, and outreach events in Kampala communities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Digital storytelling grounded in real SRH service pathways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Diverse regional representation from East Africa / Uganda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3. The Problem We Address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430225" cy="228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tive_clinic_op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30225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Reactive care waits for sickness before it responds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SRH information often fails to reach young people where they live — or arrives without a trusted referral path to care.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Ambassadors need more than slogans: they need community platforms and health partners.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4. Our Solution: FCHIP &amp; Community Reach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0688" cy="2926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_iso_labeled_op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06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Community signals → capture → FCHIP intelligence → action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youth ambassadors will pair AUDA-NEPAD advocacy with Community Reach dialogues, school health touchpoints, and clear referral to clinical care.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Where appropriate, FCHIP data (with privacy safeguards) can show where adolescent health gaps are rising — so advocacy targets the right places.</w:t>
      </w:r>
    </w:p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4.1 Deep technology core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Technology</w:t>
            </w:r>
          </w:p>
        </w:tc>
        <w:tc>
          <w:tcPr>
            <w:tcW w:type="dxa" w:w="604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Artificial Intelligence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Outbreak early warning; maternal and NCD risk scoring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Machine Learning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Learn from community patterns, seasons, and outreach outcomes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GIS Mapping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Disease distribution, hotspots, and resource gaps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Mobile Data Collection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Offline-capable CHW/VHT capture at household level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Cloud Computing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Secure sync across facilities and partners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Analytics Dashboards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Real-time views for clinics, districts, and NGOs</w:t>
            </w:r>
          </w:p>
        </w:tc>
      </w:tr>
    </w:tbl>
    <w:p/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4.2 Priority use cases for this call</w:t>
      </w:r>
    </w:p>
    <w:p>
      <w:pPr>
        <w:spacing w:after="8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Community dialogues: Youth-led SRH sessions linked to FairBanks outreach.</w:t>
      </w:r>
    </w:p>
    <w:p>
      <w:pPr>
        <w:spacing w:after="8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Digital advocacy: Responsible content that drives people to care, not panic.</w:t>
      </w:r>
    </w:p>
    <w:p>
      <w:pPr>
        <w:spacing w:after="8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Referral bridge: Ambassadors connect peers to CHWs and clinic services.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5. Fit to Programme Criteria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Criterion / theme</w:t>
            </w:r>
          </w:p>
        </w:tc>
        <w:tc>
          <w:tcPr>
            <w:tcW w:type="dxa" w:w="576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How we respond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Ages 18–35, AU citizens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Ugandan youth applicants in range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SRH commitment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Active in maternal / adolescent community health work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Digital presence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Team can maintain responsible advocacy channels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Voluntary service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Clear understanding: recognition and training, not a salary</w:t>
            </w:r>
          </w:p>
        </w:tc>
      </w:tr>
    </w:tbl>
    <w:p/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6. Why FairBanks Is Ready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0688" cy="292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facilitator_canopy_01_op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06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Live outreach in Kampala-area communities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Functioning FairBanks Medical Centre with clinic, pharmacy, and diagnostics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Active Community Reach outreach in Bukoto, Kyebando, Kisaasi, Kamwokya, Kikaaya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Trusted CHW and VHT relationships for household visits and referrals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Live programmes: maternal &amp; child health, Gericare, chronic-disease screening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Digital health records and outreach data ready to feed FCHIP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Research and partnership mindset for ethical, evidence-based scale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7. Proposed Plan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Complete ambassador onboarding and training requirements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Run quarterly SRH awareness moments inside FairBanks outreach calendars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Report activity and learning back to AUDA-NEPAD as required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Protect privacy and avoid sharing identifiable patient data in advocacy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8. Risks &amp; Safeguards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Risk</w:t>
            </w:r>
          </w:p>
        </w:tc>
        <w:tc>
          <w:tcPr>
            <w:tcW w:type="dxa" w:w="576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Data quality in the field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Structured forms, validation, CHW training and supervision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Low digital literacy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Simple offline UX, local-language support, supervised rollout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Privacy and consent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Ethical governance aligned with Uganda data protection rules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Adoption by partners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Co-design with CHWs, clinics, and district users from day one</w:t>
            </w:r>
          </w:p>
        </w:tc>
      </w:tr>
    </w:tbl>
    <w:p/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9. Closing Ask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0688" cy="29260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audience_full_group_01_op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06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From community needs to lasting health impact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AUDA-NEPAD needs youth who can move communities. FairBanks youth already work inside those communities.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ask for appointment as Youth SRH Ambassadors so continental goals meet local action.</w:t>
      </w:r>
    </w:p>
    <w:p>
      <w:pPr>
        <w:spacing w:after="160" w:before="160" w:line="288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after="160" w:before="16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6"/>
        </w:rPr>
        <w:t>Aligned with: https://opportunitiesforyouth.org/2026/06/13/african-union-youth-srh-ambassadors-initiative-2026-apply-to-become-an-auda-nepad-youth-srh-ambassador/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