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8" w:lineRule="auto"/>
        <w:jc w:val="center"/>
      </w:pPr>
      <w:r>
        <w:rPr>
          <w:rFonts w:ascii="Calibri" w:hAnsi="Calibri" w:eastAsia="Calibri"/>
          <w:b/>
          <w:i w:val="0"/>
          <w:color w:val="0D6E6E"/>
          <w:sz w:val="24"/>
        </w:rPr>
        <w:t>U.S. Dept of State — Uganda Health System MOU (DFOP0017890)</w:t>
      </w:r>
    </w:p>
    <w:p>
      <w:pPr>
        <w:spacing w:after="240" w:before="0" w:line="288" w:lineRule="auto"/>
        <w:jc w:val="center"/>
      </w:pPr>
      <w:r>
        <w:rPr>
          <w:rFonts w:ascii="Calibri" w:hAnsi="Calibri" w:eastAsia="Calibri"/>
          <w:b w:val="0"/>
          <w:i w:val="0"/>
          <w:color w:val="3A4A54"/>
          <w:sz w:val="22"/>
        </w:rPr>
        <w:t>Win-Win Application Pack</w:t>
      </w:r>
    </w:p>
    <w:p>
      <w:pPr>
        <w:spacing w:after="80" w:before="0" w:line="288" w:lineRule="auto"/>
        <w:jc w:val="center"/>
      </w:pPr>
      <w:r>
        <w:rPr>
          <w:rFonts w:ascii="Calibri" w:hAnsi="Calibri" w:eastAsia="Calibri"/>
          <w:b/>
          <w:i w:val="0"/>
          <w:color w:val="0A1F2E"/>
          <w:sz w:val="44"/>
        </w:rPr>
        <w:t>Scaling Community Health Intelligence for Uganda</w:t>
      </w:r>
    </w:p>
    <w:p>
      <w:pPr>
        <w:spacing w:after="80" w:before="0" w:line="288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Statement of Interest: digital health, community systems, and accountable care</w:t>
      </w:r>
    </w:p>
    <w:p>
      <w:pPr>
        <w:spacing w:after="200" w:before="0" w:line="288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05224" cy="2926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_cinematic_op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5224" cy="29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88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FairBanks Community Reach — Health for All — Obulamu eri Bonna · Afya kwa Wote · Oburamu bwa Boona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912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304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Applicant</w:t>
            </w:r>
          </w:p>
        </w:tc>
        <w:tc>
          <w:tcPr>
            <w:tcW w:type="dxa" w:w="691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FairBanks Medical Centre / FairBanks Community Reach — Uganda</w:t>
            </w:r>
          </w:p>
        </w:tc>
      </w:tr>
      <w:tr>
        <w:tc>
          <w:tcPr>
            <w:tcW w:type="dxa" w:w="2304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Programme</w:t>
            </w:r>
          </w:p>
        </w:tc>
        <w:tc>
          <w:tcPr>
            <w:tcW w:type="dxa" w:w="6912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U.S. Dept of State — Uganda Health System MOU (DFOP0017890)</w:t>
            </w:r>
          </w:p>
        </w:tc>
      </w:tr>
      <w:tr>
        <w:tc>
          <w:tcPr>
            <w:tcW w:type="dxa" w:w="2304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Deadline</w:t>
            </w:r>
          </w:p>
        </w:tc>
        <w:tc>
          <w:tcPr>
            <w:tcW w:type="dxa" w:w="691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31 July 2026 (Statement of Interest, 5:00 PM EDT)</w:t>
            </w:r>
          </w:p>
        </w:tc>
      </w:tr>
      <w:tr>
        <w:tc>
          <w:tcPr>
            <w:tcW w:type="dxa" w:w="2304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Geography</w:t>
            </w:r>
          </w:p>
        </w:tc>
        <w:tc>
          <w:tcPr>
            <w:tcW w:type="dxa" w:w="6912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Uganda (national digital health &amp; community health alignment)</w:t>
            </w:r>
          </w:p>
        </w:tc>
      </w:tr>
      <w:tr>
        <w:tc>
          <w:tcPr>
            <w:tcW w:type="dxa" w:w="2304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The ask</w:t>
            </w:r>
          </w:p>
        </w:tc>
        <w:tc>
          <w:tcPr>
            <w:tcW w:type="dxa" w:w="6912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Invite FairBanks to submit a full application under Objective 4 (digital health) and related community tracks.</w:t>
            </w:r>
          </w:p>
        </w:tc>
      </w:tr>
    </w:tbl>
    <w:p/>
    <w:p>
      <w:pPr>
        <w:spacing w:after="120" w:before="0" w:line="288" w:lineRule="auto"/>
        <w:jc w:val="center"/>
      </w:pPr>
      <w:r>
        <w:rPr>
          <w:rFonts w:ascii="Calibri" w:hAnsi="Calibri" w:eastAsia="Calibri"/>
          <w:b w:val="0"/>
          <w:i w:val="0"/>
          <w:color w:val="0D6E6E"/>
          <w:sz w:val="16"/>
        </w:rPr>
        <w:t>https://opportunitiesforyouth.org/2026/06/15/u-s-department-of-state-launches-up-to-60-million-funding-opportunity-to-strengthen-ugandas-health-system-through-the-health-foreign-assistance-mou-implementation-plan/</w:t>
      </w:r>
    </w:p>
    <w:p>
      <w:r>
        <w:br w:type="page"/>
      </w:r>
    </w:p>
    <w:p>
      <w:pPr>
        <w:spacing w:before="280" w:after="100"/>
      </w:pPr>
      <w:r>
        <w:rPr>
          <w:rFonts w:ascii="Calibri" w:hAnsi="Calibri" w:eastAsia="Calibri"/>
          <w:b/>
          <w:i w:val="0"/>
          <w:color w:val="0A1F2E"/>
          <w:sz w:val="36"/>
        </w:rPr>
        <w:t>1. Executive Summary</w:t>
      </w:r>
    </w:p>
    <w:p>
      <w:pPr>
        <w:spacing w:after="16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The U.S.–Uganda Health MOU opens up to $60M across ~15 awards to strengthen Uganda's health system. Objective 4 funds scaling digital health systems including EMRs, DHIS2, eCHIS, iHRIS, and the national data warehouse.</w:t>
      </w:r>
    </w:p>
    <w:p>
      <w:pPr>
        <w:spacing w:after="16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FCHIP is designed as a community intelligence layer that can complement national systems — feeding cleaner CHW data, early warnings, and facility decision support.</w:t>
      </w:r>
    </w:p>
    <w:p>
      <w:pPr>
        <w:spacing w:after="160" w:before="0" w:line="288" w:lineRule="auto"/>
        <w:jc w:val="left"/>
      </w:pPr>
      <w:r>
        <w:rPr>
          <w:rFonts w:ascii="Calibri" w:hAnsi="Calibri" w:eastAsia="Calibri"/>
          <w:b/>
          <w:i w:val="0"/>
          <w:color w:val="1E2F38"/>
          <w:sz w:val="22"/>
        </w:rPr>
        <w:t>A Statement of Interest from FairBanks offers the U.S. and Uganda a private-sector community partner with live operations — not a slide-deck-only vendor.</w:t>
      </w:r>
    </w:p>
    <w:p>
      <w:pPr>
        <w:spacing w:before="280" w:after="100"/>
      </w:pPr>
      <w:r>
        <w:rPr>
          <w:rFonts w:ascii="Calibri" w:hAnsi="Calibri" w:eastAsia="Calibri"/>
          <w:b/>
          <w:i w:val="0"/>
          <w:color w:val="0A1F2E"/>
          <w:sz w:val="36"/>
        </w:rPr>
        <w:t>2. Win-Win Value</w:t>
      </w:r>
    </w:p>
    <w:p>
      <w:pPr>
        <w:spacing w:after="16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This application is designed as a true partnership: FairBanks grows capacity and reach; the programme advances its own mission with a grounded African health-tech partner.</w:t>
      </w:r>
    </w:p>
    <w:p>
      <w:pPr>
        <w:spacing w:before="180" w:after="100"/>
      </w:pPr>
      <w:r>
        <w:rPr>
          <w:rFonts w:ascii="Calibri" w:hAnsi="Calibri" w:eastAsia="Calibri"/>
          <w:b/>
          <w:i w:val="0"/>
          <w:color w:val="0D6E6E"/>
          <w:sz w:val="26"/>
        </w:rPr>
        <w:t>2.1 What FairBanks / FCHIP gains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Pathway to multi-year partnership funding for digital community health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Alignment with national systems (eCHIS / DHIS2 / data warehouse)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Capacity to scale beyond Kampala catchments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Stronger governance, M&amp;E, and compliance muscle</w:t>
      </w:r>
    </w:p>
    <w:p>
      <w:pPr>
        <w:spacing w:before="180" w:after="100"/>
      </w:pPr>
      <w:r>
        <w:rPr>
          <w:rFonts w:ascii="Calibri" w:hAnsi="Calibri" w:eastAsia="Calibri"/>
          <w:b/>
          <w:i w:val="0"/>
          <w:color w:val="0D6E6E"/>
          <w:sz w:val="26"/>
        </w:rPr>
        <w:t>2.2 What the programme / partners gain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Ugandan implementer with clinic + CHW footprint already in motion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Contribution to Objective 4 digital health scaling goals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Community-based complementary data that improves facility and district action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Potential links to community financing, faith/community facilities, and supply accountability tracks</w:t>
      </w:r>
    </w:p>
    <w:p>
      <w:pPr>
        <w:spacing w:before="280" w:after="100"/>
      </w:pPr>
      <w:r>
        <w:rPr>
          <w:rFonts w:ascii="Calibri" w:hAnsi="Calibri" w:eastAsia="Calibri"/>
          <w:b/>
          <w:i w:val="0"/>
          <w:color w:val="0A1F2E"/>
          <w:sz w:val="36"/>
        </w:rPr>
        <w:t>3. The Problem We Address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30225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ive_clinic_o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0225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88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Reactive care waits for sickness before it responds</w:t>
      </w:r>
    </w:p>
    <w:p>
      <w:pPr>
        <w:spacing w:after="16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Uganda's digital health stack is advancing, but community-generated signals still arrive late or incompletely — limiting outbreak response, maternal risk management, and medicine planning.</w:t>
      </w:r>
    </w:p>
    <w:p>
      <w:pPr>
        <w:spacing w:after="16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Scaling digital tools without trusted community partners leaves last-mile gaps.</w:t>
      </w:r>
    </w:p>
    <w:p>
      <w:pPr>
        <w:spacing w:before="280" w:after="100"/>
      </w:pPr>
      <w:r>
        <w:rPr>
          <w:rFonts w:ascii="Calibri" w:hAnsi="Calibri" w:eastAsia="Calibri"/>
          <w:b/>
          <w:i w:val="0"/>
          <w:color w:val="0A1F2E"/>
          <w:sz w:val="36"/>
        </w:rPr>
        <w:t>4. Our Solution: FCHIP &amp; Community Reach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0688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iso_labeled_o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0688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88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Community signals → capture → FCHIP intelligence → action</w:t>
      </w:r>
    </w:p>
    <w:p>
      <w:pPr>
        <w:spacing w:after="16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proposes FCHIP as a community intelligence complement: mobile CHW capture interoperable with national reporting where permitted, predictive alerts, GIS views, and facility dashboards.</w:t>
      </w:r>
    </w:p>
    <w:p>
      <w:pPr>
        <w:spacing w:after="16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We start from live FairBanks operations, then partner outward with districts and public programmes under MOU priorities.</w:t>
      </w:r>
    </w:p>
    <w:p>
      <w:pPr>
        <w:spacing w:before="180" w:after="100"/>
      </w:pPr>
      <w:r>
        <w:rPr>
          <w:rFonts w:ascii="Calibri" w:hAnsi="Calibri" w:eastAsia="Calibri"/>
          <w:b/>
          <w:i w:val="0"/>
          <w:color w:val="0D6E6E"/>
          <w:sz w:val="26"/>
        </w:rPr>
        <w:t>4.1 Deep technology 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604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Artificial Intelligence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Outbreak early warning; maternal and NCD risk scoring</w:t>
            </w:r>
          </w:p>
        </w:tc>
      </w:tr>
      <w:tr>
        <w:tc>
          <w:tcPr>
            <w:tcW w:type="dxa" w:w="31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Machine Learning</w:t>
            </w:r>
          </w:p>
        </w:tc>
        <w:tc>
          <w:tcPr>
            <w:tcW w:type="dxa" w:w="60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Learn from community patterns, seasons, and outreach outcomes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GIS Mapping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Disease distribution, hotspots, and resource gaps</w:t>
            </w:r>
          </w:p>
        </w:tc>
      </w:tr>
      <w:tr>
        <w:tc>
          <w:tcPr>
            <w:tcW w:type="dxa" w:w="31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Mobile Data Collection</w:t>
            </w:r>
          </w:p>
        </w:tc>
        <w:tc>
          <w:tcPr>
            <w:tcW w:type="dxa" w:w="60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Offline-capable CHW/VHT capture at household level</w:t>
            </w:r>
          </w:p>
        </w:tc>
      </w:tr>
      <w:tr>
        <w:tc>
          <w:tcPr>
            <w:tcW w:type="dxa" w:w="316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Cloud Computing</w:t>
            </w:r>
          </w:p>
        </w:tc>
        <w:tc>
          <w:tcPr>
            <w:tcW w:type="dxa" w:w="604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Secure sync across facilities and partners</w:t>
            </w:r>
          </w:p>
        </w:tc>
      </w:tr>
      <w:tr>
        <w:tc>
          <w:tcPr>
            <w:tcW w:type="dxa" w:w="316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Analytics Dashboards</w:t>
            </w:r>
          </w:p>
        </w:tc>
        <w:tc>
          <w:tcPr>
            <w:tcW w:type="dxa" w:w="604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Real-time views for clinics, districts, and NGOs</w:t>
            </w:r>
          </w:p>
        </w:tc>
      </w:tr>
    </w:tbl>
    <w:p/>
    <w:p>
      <w:pPr>
        <w:spacing w:before="180" w:after="100"/>
      </w:pPr>
      <w:r>
        <w:rPr>
          <w:rFonts w:ascii="Calibri" w:hAnsi="Calibri" w:eastAsia="Calibri"/>
          <w:b/>
          <w:i w:val="0"/>
          <w:color w:val="0D6E6E"/>
          <w:sz w:val="26"/>
        </w:rPr>
        <w:t>4.2 Priority use cases for this call</w:t>
      </w:r>
    </w:p>
    <w:p>
      <w:pPr>
        <w:spacing w:after="8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eCHIS-aligned capture: Structured community forms that reduce double entry.</w:t>
      </w:r>
    </w:p>
    <w:p>
      <w:pPr>
        <w:spacing w:after="8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Surveillance support: Fever and maternal risk signals for earlier action.</w:t>
      </w:r>
    </w:p>
    <w:p>
      <w:pPr>
        <w:spacing w:after="8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Supply awareness: Demand signals that reduce avoidable stock-outs.</w:t>
      </w:r>
    </w:p>
    <w:p>
      <w:pPr>
        <w:spacing w:before="280" w:after="100"/>
      </w:pPr>
      <w:r>
        <w:rPr>
          <w:rFonts w:ascii="Calibri" w:hAnsi="Calibri" w:eastAsia="Calibri"/>
          <w:b/>
          <w:i w:val="0"/>
          <w:color w:val="0A1F2E"/>
          <w:sz w:val="36"/>
        </w:rPr>
        <w:t>5. Fit to Programme Criteria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Criterion / theme</w:t>
            </w:r>
          </w:p>
        </w:tc>
        <w:tc>
          <w:tcPr>
            <w:tcW w:type="dxa" w:w="5760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How we respond</w:t>
            </w:r>
          </w:p>
        </w:tc>
      </w:tr>
      <w:tr>
        <w:tc>
          <w:tcPr>
            <w:tcW w:type="dxa" w:w="345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Objective 4 — digital health</w:t>
            </w:r>
          </w:p>
        </w:tc>
        <w:tc>
          <w:tcPr>
            <w:tcW w:type="dxa" w:w="576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EMR/community data, analytics, interoperability intent</w:t>
            </w:r>
          </w:p>
        </w:tc>
      </w:tr>
      <w:tr>
        <w:tc>
          <w:tcPr>
            <w:tcW w:type="dxa" w:w="3456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Ugandan organisations</w:t>
            </w:r>
          </w:p>
        </w:tc>
        <w:tc>
          <w:tcPr>
            <w:tcW w:type="dxa" w:w="576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Local medical centre and community programmes</w:t>
            </w:r>
          </w:p>
        </w:tc>
      </w:tr>
      <w:tr>
        <w:tc>
          <w:tcPr>
            <w:tcW w:type="dxa" w:w="345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Two-step process</w:t>
            </w:r>
          </w:p>
        </w:tc>
        <w:tc>
          <w:tcPr>
            <w:tcW w:type="dxa" w:w="576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This pack supports a strong Statement of Interest</w:t>
            </w:r>
          </w:p>
        </w:tc>
      </w:tr>
      <w:tr>
        <w:tc>
          <w:tcPr>
            <w:tcW w:type="dxa" w:w="3456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Five-year systems strengthening</w:t>
            </w:r>
          </w:p>
        </w:tc>
        <w:tc>
          <w:tcPr>
            <w:tcW w:type="dxa" w:w="576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Roadmap from pilot catchment to district partnership</w:t>
            </w:r>
          </w:p>
        </w:tc>
      </w:tr>
    </w:tbl>
    <w:p/>
    <w:p>
      <w:pPr>
        <w:spacing w:before="280" w:after="100"/>
      </w:pPr>
      <w:r>
        <w:rPr>
          <w:rFonts w:ascii="Calibri" w:hAnsi="Calibri" w:eastAsia="Calibri"/>
          <w:b/>
          <w:i w:val="0"/>
          <w:color w:val="0A1F2E"/>
          <w:sz w:val="36"/>
        </w:rPr>
        <w:t>6. Why FairBanks Is Ready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0688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facilitator_canopy_01_op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0688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88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Live outreach in Kampala-area communities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Functioning FairBanks Medical Centre with clinic, pharmacy, and diagnostics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Active Community Reach outreach in Bukoto, Kyebando, Kisaasi, Kamwokya, Kikaaya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Trusted CHW and VHT relationships for household visits and referrals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Live programmes: maternal &amp; child health, Gericare, chronic-disease screening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Digital health records and outreach data ready to feed FCHIP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F38"/>
          <w:sz w:val="22"/>
        </w:rPr>
        <w:t>Research and partnership mindset for ethical, evidence-based scale</w:t>
      </w:r>
    </w:p>
    <w:p>
      <w:pPr>
        <w:spacing w:before="280" w:after="100"/>
      </w:pPr>
      <w:r>
        <w:rPr>
          <w:rFonts w:ascii="Calibri" w:hAnsi="Calibri" w:eastAsia="Calibri"/>
          <w:b/>
          <w:i w:val="0"/>
          <w:color w:val="0A1F2E"/>
          <w:sz w:val="36"/>
        </w:rPr>
        <w:t>7. Proposed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Phase / step</w:t>
            </w:r>
          </w:p>
        </w:tc>
        <w:tc>
          <w:tcPr>
            <w:tcW w:type="dxa" w:w="6336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SOI (by 31 Jul 2026)</w:t>
            </w:r>
          </w:p>
        </w:tc>
        <w:tc>
          <w:tcPr>
            <w:tcW w:type="dxa" w:w="633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Submit concise Statement of Interest aligned to Objective 4</w:t>
            </w:r>
          </w:p>
        </w:tc>
      </w:tr>
      <w:tr>
        <w:tc>
          <w:tcPr>
            <w:tcW w:type="dxa" w:w="288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Full proposal (if invited)</w:t>
            </w:r>
          </w:p>
        </w:tc>
        <w:tc>
          <w:tcPr>
            <w:tcW w:type="dxa" w:w="6336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Technical approach, consortium, budget, M&amp;E, safeguarding</w:t>
            </w:r>
          </w:p>
        </w:tc>
      </w:tr>
      <w:tr>
        <w:tc>
          <w:tcPr>
            <w:tcW w:type="dxa" w:w="288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Year 1–2</w:t>
            </w:r>
          </w:p>
        </w:tc>
        <w:tc>
          <w:tcPr>
            <w:tcW w:type="dxa" w:w="633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Pilot interoperability + predictive modules in FairBanks catchment</w:t>
            </w:r>
          </w:p>
        </w:tc>
      </w:tr>
      <w:tr>
        <w:tc>
          <w:tcPr>
            <w:tcW w:type="dxa" w:w="288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Year 3–5</w:t>
            </w:r>
          </w:p>
        </w:tc>
        <w:tc>
          <w:tcPr>
            <w:tcW w:type="dxa" w:w="6336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District partnerships and national reporting alignment</w:t>
            </w:r>
          </w:p>
        </w:tc>
      </w:tr>
    </w:tbl>
    <w:p/>
    <w:p>
      <w:pPr>
        <w:spacing w:before="280" w:after="100"/>
      </w:pPr>
      <w:r>
        <w:rPr>
          <w:rFonts w:ascii="Calibri" w:hAnsi="Calibri" w:eastAsia="Calibri"/>
          <w:b/>
          <w:i w:val="0"/>
          <w:color w:val="0A1F2E"/>
          <w:sz w:val="36"/>
        </w:rPr>
        <w:t>8. Indicative Resources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60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Detail</w:t>
            </w:r>
          </w:p>
        </w:tc>
        <w:tc>
          <w:tcPr>
            <w:tcW w:type="dxa" w:w="1728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88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Digital platform &amp; interoperability</w:t>
            </w:r>
          </w:p>
        </w:tc>
        <w:tc>
          <w:tcPr>
            <w:tcW w:type="dxa" w:w="460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Capture, APIs, analytics, GIS</w:t>
            </w:r>
          </w:p>
        </w:tc>
        <w:tc>
          <w:tcPr>
            <w:tcW w:type="dxa" w:w="172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TBD in full proposal</w:t>
            </w:r>
          </w:p>
        </w:tc>
      </w:tr>
      <w:tr>
        <w:tc>
          <w:tcPr>
            <w:tcW w:type="dxa" w:w="288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CHW capacity &amp; supervision</w:t>
            </w:r>
          </w:p>
        </w:tc>
        <w:tc>
          <w:tcPr>
            <w:tcW w:type="dxa" w:w="460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Training, devices, quality assurance</w:t>
            </w:r>
          </w:p>
        </w:tc>
        <w:tc>
          <w:tcPr>
            <w:tcW w:type="dxa" w:w="172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TBD</w:t>
            </w:r>
          </w:p>
        </w:tc>
      </w:tr>
      <w:tr>
        <w:tc>
          <w:tcPr>
            <w:tcW w:type="dxa" w:w="288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M&amp;E and learning</w:t>
            </w:r>
          </w:p>
        </w:tc>
        <w:tc>
          <w:tcPr>
            <w:tcW w:type="dxa" w:w="460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Baselines, dashboards, reporting</w:t>
            </w:r>
          </w:p>
        </w:tc>
        <w:tc>
          <w:tcPr>
            <w:tcW w:type="dxa" w:w="1728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TBD</w:t>
            </w:r>
          </w:p>
        </w:tc>
      </w:tr>
      <w:tr>
        <w:tc>
          <w:tcPr>
            <w:tcW w:type="dxa" w:w="288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Total</w:t>
            </w:r>
          </w:p>
        </w:tc>
        <w:tc>
          <w:tcPr>
            <w:tcW w:type="dxa" w:w="460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Within award band if selected among ~15 awards</w:t>
            </w:r>
          </w:p>
        </w:tc>
        <w:tc>
          <w:tcPr>
            <w:tcW w:type="dxa" w:w="1728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Up to programme ceilings</w:t>
            </w:r>
          </w:p>
        </w:tc>
      </w:tr>
    </w:tbl>
    <w:p/>
    <w:p>
      <w:pPr>
        <w:spacing w:before="280" w:after="100"/>
      </w:pPr>
      <w:r>
        <w:rPr>
          <w:rFonts w:ascii="Calibri" w:hAnsi="Calibri" w:eastAsia="Calibri"/>
          <w:b/>
          <w:i w:val="0"/>
          <w:color w:val="0A1F2E"/>
          <w:sz w:val="36"/>
        </w:rPr>
        <w:t>9. Risks &amp; Safeguards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5760"/>
            <w:shd w:fill="0D6E6E"/>
            <w:tcBorders>
              <w:top w:val="single" w:sz="8" w:color="0D6E6E"/>
              <w:left w:val="single" w:sz="8" w:color="0D6E6E"/>
              <w:bottom w:val="single" w:sz="8" w:color="0D6E6E"/>
              <w:right w:val="single" w:sz="8" w:color="0D6E6E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45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Data quality in the field</w:t>
            </w:r>
          </w:p>
        </w:tc>
        <w:tc>
          <w:tcPr>
            <w:tcW w:type="dxa" w:w="576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Structured forms, validation, CHW training and supervision</w:t>
            </w:r>
          </w:p>
        </w:tc>
      </w:tr>
      <w:tr>
        <w:tc>
          <w:tcPr>
            <w:tcW w:type="dxa" w:w="3456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Low digital literacy</w:t>
            </w:r>
          </w:p>
        </w:tc>
        <w:tc>
          <w:tcPr>
            <w:tcW w:type="dxa" w:w="576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Simple offline UX, local-language support, supervised rollout</w:t>
            </w:r>
          </w:p>
        </w:tc>
      </w:tr>
      <w:tr>
        <w:tc>
          <w:tcPr>
            <w:tcW w:type="dxa" w:w="3456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Privacy and consent</w:t>
            </w:r>
          </w:p>
        </w:tc>
        <w:tc>
          <w:tcPr>
            <w:tcW w:type="dxa" w:w="576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Ethical governance aligned with Uganda data protection rules</w:t>
            </w:r>
          </w:p>
        </w:tc>
      </w:tr>
      <w:tr>
        <w:tc>
          <w:tcPr>
            <w:tcW w:type="dxa" w:w="3456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Adoption by partners</w:t>
            </w:r>
          </w:p>
        </w:tc>
        <w:tc>
          <w:tcPr>
            <w:tcW w:type="dxa" w:w="5760"/>
            <w:shd w:fill="F7F5F0"/>
            <w:tcBorders>
              <w:top w:val="single" w:sz="8" w:color="D0DCDC"/>
              <w:left w:val="single" w:sz="8" w:color="D0DCDC"/>
              <w:bottom w:val="single" w:sz="8" w:color="D0DCDC"/>
              <w:right w:val="single" w:sz="8" w:color="D0DCD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F38"/>
                <w:sz w:val="20"/>
              </w:rPr>
              <w:t>Co-design with CHWs, clinics, and district users from day one</w:t>
            </w:r>
          </w:p>
        </w:tc>
      </w:tr>
    </w:tbl>
    <w:p/>
    <w:p>
      <w:pPr>
        <w:spacing w:before="280" w:after="100"/>
      </w:pPr>
      <w:r>
        <w:rPr>
          <w:rFonts w:ascii="Calibri" w:hAnsi="Calibri" w:eastAsia="Calibri"/>
          <w:b/>
          <w:i w:val="0"/>
          <w:color w:val="0A1F2E"/>
          <w:sz w:val="36"/>
        </w:rPr>
        <w:t>10. Closing Ask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0688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audience_full_group_01_op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0688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88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From community needs to lasting health impact</w:t>
      </w:r>
    </w:p>
    <w:p>
      <w:pPr>
        <w:spacing w:after="16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The MOU succeeds when digital health reaches communities, not only servers. FairBanks is ready to help close that gap.</w:t>
      </w:r>
    </w:p>
    <w:p>
      <w:pPr>
        <w:spacing w:after="160" w:before="0" w:line="288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We request consideration of our Statement of Interest for full application invitation.</w:t>
      </w:r>
    </w:p>
    <w:p>
      <w:pPr>
        <w:spacing w:after="160" w:before="160" w:line="288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spacing w:after="160" w:before="160" w:line="288" w:lineRule="auto"/>
        <w:jc w:val="center"/>
      </w:pPr>
      <w:r>
        <w:rPr>
          <w:rFonts w:ascii="Calibri" w:hAnsi="Calibri" w:eastAsia="Calibri"/>
          <w:b w:val="0"/>
          <w:i/>
          <w:color w:val="3A4A54"/>
          <w:sz w:val="16"/>
        </w:rPr>
        <w:t>Aligned with: https://opportunitiesforyouth.org/2026/06/15/u-s-department-of-state-launches-up-to-60-million-funding-opportunity-to-strengthen-ugandas-health-system-through-the-health-foreign-assistance-mou-implementation-plan/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