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88" w:lineRule="auto"/>
        <w:jc w:val="center"/>
      </w:pPr>
      <w:r>
        <w:rPr>
          <w:rFonts w:ascii="Calibri" w:hAnsi="Calibri" w:eastAsia="Calibri"/>
          <w:b/>
          <w:i w:val="0"/>
          <w:color w:val="0D6E6E"/>
          <w:sz w:val="24"/>
        </w:rPr>
        <w:t>IFAD Grant — Rural Sector Performance Assessment (up to US$1.2M)</w:t>
      </w:r>
    </w:p>
    <w:p>
      <w:pPr>
        <w:spacing w:after="240" w:before="0" w:line="288" w:lineRule="auto"/>
        <w:jc w:val="center"/>
      </w:pPr>
      <w:r>
        <w:rPr>
          <w:rFonts w:ascii="Calibri" w:hAnsi="Calibri" w:eastAsia="Calibri"/>
          <w:b w:val="0"/>
          <w:i w:val="0"/>
          <w:color w:val="3A4A54"/>
          <w:sz w:val="22"/>
        </w:rPr>
        <w:t>Win-Win Application Pack</w:t>
      </w:r>
    </w:p>
    <w:p>
      <w:pPr>
        <w:spacing w:after="80" w:before="0" w:line="288" w:lineRule="auto"/>
        <w:jc w:val="center"/>
      </w:pPr>
      <w:r>
        <w:rPr>
          <w:rFonts w:ascii="Calibri" w:hAnsi="Calibri" w:eastAsia="Calibri"/>
          <w:b/>
          <w:i w:val="0"/>
          <w:color w:val="0A1F2E"/>
          <w:sz w:val="44"/>
        </w:rPr>
        <w:t>Health–Livelihood Intelligence for Rural Policy</w:t>
      </w:r>
    </w:p>
    <w:p>
      <w:pPr>
        <w:spacing w:after="80" w:before="0" w:line="288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Linking community health data to rural development performance</w:t>
      </w:r>
    </w:p>
    <w:p>
      <w:pPr>
        <w:spacing w:after="200" w:before="0" w:line="288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05224" cy="292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hero_cinematic_op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5224" cy="292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FairBanks Community Reach — Health for All — Obulamu eri Bonna · Afya kwa Wote · Oburamu bwa Boona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04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6912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Applicant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FairBanks (with research / policy partners as required) — Uganda</w:t>
            </w:r>
          </w:p>
        </w:tc>
      </w:tr>
      <w:tr>
        <w:tc>
          <w:tcPr>
            <w:tcW w:type="dxa" w:w="230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Programme</w:t>
            </w:r>
          </w:p>
        </w:tc>
        <w:tc>
          <w:tcPr>
            <w:tcW w:type="dxa" w:w="691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IFAD Grant — Rural Sector Performance Assessment (up to US$1.2M)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Deadline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4 September 2026 (12:00 CET); optional EOI 31 July 2026</w:t>
            </w:r>
          </w:p>
        </w:tc>
      </w:tr>
      <w:tr>
        <w:tc>
          <w:tcPr>
            <w:tcW w:type="dxa" w:w="230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Geography</w:t>
            </w:r>
          </w:p>
        </w:tc>
        <w:tc>
          <w:tcPr>
            <w:tcW w:type="dxa" w:w="691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Uganda rural / peri-urban catchments · policy learning global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The ask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Consider FairBanks (and partners) for EOI and full proposal on health–livelihood policy intelligence.</w:t>
            </w:r>
          </w:p>
        </w:tc>
      </w:tr>
    </w:tbl>
    <w:p/>
    <w:p>
      <w:pPr>
        <w:spacing w:after="120" w:before="0" w:line="288" w:lineRule="auto"/>
        <w:jc w:val="center"/>
      </w:pPr>
      <w:r>
        <w:rPr>
          <w:rFonts w:ascii="Calibri" w:hAnsi="Calibri" w:eastAsia="Calibri"/>
          <w:b w:val="0"/>
          <w:i w:val="0"/>
          <w:color w:val="0D6E6E"/>
          <w:sz w:val="16"/>
        </w:rPr>
        <w:t>https://opportunitiesforyouth.org/2026/07/14/ifad-announces-us1-2-million-grant-call-for-proposals-to-strengthen-rural-development-policies-worldwide/</w:t>
      </w:r>
    </w:p>
    <w:p>
      <w:r>
        <w:br w:type="page"/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1. Executive Summary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IFAD seeks proposals up to US$1.2M to leverage the Rural Sector Performance Assessment for better policy and investment — open to non-profits, private firms, universities, and think tanks.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FairBanks' cascade already links health to livelihoods and resilient families. FCHIP can contribute community health and vulnerability signals that make rural performance assessment more human-centred.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/>
          <w:i w:val="0"/>
          <w:color w:val="1E2F38"/>
          <w:sz w:val="22"/>
        </w:rPr>
        <w:t>This pack frames a careful, partnership-ready fit — to be confirmed against IFAD's detailed thematic guidance before full proposal effort.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2. Win-Win Value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This application is designed as a true partnership: FairBanks grows capacity and reach; the programme advances its own mission with a grounded African health-tech partner.</w:t>
      </w:r>
    </w:p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2.1 What FairBanks / FCHIP gains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Resources to connect health intelligence with rural livelihood policy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Partnerships with universities / think tanks on rigorous assessment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Evidence that prevention protects income and food security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Optional EOI path to test fit early (31 July 2026)</w:t>
      </w:r>
    </w:p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2.2 What the programme / partners gain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Ground-level health and vulnerability data from community programmes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Private-sector / social enterprise implementer with field access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SDG-aligned story: health shocks as rural poverty drivers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Counterpart contribution potential via FairBanks operations (20–25%)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3. The Problem We Address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430225" cy="228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tive_clinic_o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30225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Reactive care waits for sickness before it responds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Rural policy often tracks production and infrastructure while under-weighting health shocks that wipe out household gains.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Without community health intelligence, rural performance assessments miss a core driver of poverty.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4. Our Solution: FCHIP &amp; Community Reach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0688" cy="2926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_iso_labeled_op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06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Community signals → capture → FCHIP intelligence → action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Propose a workstream where FCHIP community indicators (illness clusters, maternal risk, missed care) inform rural performance dashboards and policy briefs, in partnership with research institutes.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Counterpart effort includes FairBanks field operations, CHW networks, and data stewardship.</w:t>
      </w:r>
    </w:p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4.1 Deep technology core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Technology</w:t>
            </w:r>
          </w:p>
        </w:tc>
        <w:tc>
          <w:tcPr>
            <w:tcW w:type="dxa" w:w="604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Artificial Intelligence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Outbreak early warning; maternal and NCD risk scoring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Machine Learning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Learn from community patterns, seasons, and outreach outcomes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GIS Mapping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Disease distribution, hotspots, and resource gaps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Mobile Data Collection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Offline-capable CHW/VHT capture at household level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Cloud Computing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Secure sync across facilities and partners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Analytics Dashboards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Real-time views for clinics, districts, and NGOs</w:t>
            </w:r>
          </w:p>
        </w:tc>
      </w:tr>
    </w:tbl>
    <w:p/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4.2 Priority use cases for this call</w:t>
      </w:r>
    </w:p>
    <w:p>
      <w:pPr>
        <w:spacing w:after="8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Health-shock markers: Link disease surges to livelihood stress signals.</w:t>
      </w:r>
    </w:p>
    <w:p>
      <w:pPr>
        <w:spacing w:after="8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Policy briefs: Translate community data into investment priorities.</w:t>
      </w:r>
    </w:p>
    <w:p>
      <w:pPr>
        <w:spacing w:after="8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Partner research: Co-design methods with academic / think-tank partners.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5. Fit to Programme Criteria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Criterion / theme</w:t>
            </w:r>
          </w:p>
        </w:tc>
        <w:tc>
          <w:tcPr>
            <w:tcW w:type="dxa" w:w="576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How we respond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Rural Sector Performance Assessment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Add health–livelihood intelligence layer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Eligible entity types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Social enterprise + research partners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Counterpart 20–25%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In-kind operations and staff time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Verify thematic match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EOI first; full proposal only if guidance confirms fit</w:t>
            </w:r>
          </w:p>
        </w:tc>
      </w:tr>
    </w:tbl>
    <w:p/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6. Why FairBanks Is Ready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0688" cy="29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facilitator_canopy_01_op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06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Live outreach in Kampala-area communities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Functioning FairBanks Medical Centre with clinic, pharmacy, and diagnostics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Active Community Reach outreach in Bukoto, Kyebando, Kisaasi, Kamwokya, Kikaaya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Trusted CHW and VHT relationships for household visits and referrals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Live programmes: maternal &amp; child health, Gericare, chronic-disease screening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Digital health records and outreach data ready to feed FCHIP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Research and partnership mindset for ethical, evidence-based scale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7. Proposed Plan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88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Phase / step</w:t>
            </w:r>
          </w:p>
        </w:tc>
        <w:tc>
          <w:tcPr>
            <w:tcW w:type="dxa" w:w="633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88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By 31 Jul 2026</w:t>
            </w:r>
          </w:p>
        </w:tc>
        <w:tc>
          <w:tcPr>
            <w:tcW w:type="dxa" w:w="633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Optional non-binding Expression of Interest</w:t>
            </w:r>
          </w:p>
        </w:tc>
      </w:tr>
      <w:tr>
        <w:tc>
          <w:tcPr>
            <w:tcW w:type="dxa" w:w="288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By 4 Sep 2026</w:t>
            </w:r>
          </w:p>
        </w:tc>
        <w:tc>
          <w:tcPr>
            <w:tcW w:type="dxa" w:w="633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Full proposal if thematic fit confirmed</w:t>
            </w:r>
          </w:p>
        </w:tc>
      </w:tr>
      <w:tr>
        <w:tc>
          <w:tcPr>
            <w:tcW w:type="dxa" w:w="288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Year 1–2</w:t>
            </w:r>
          </w:p>
        </w:tc>
        <w:tc>
          <w:tcPr>
            <w:tcW w:type="dxa" w:w="633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Pilot indicators in FairBanks / partner rural catchments</w:t>
            </w:r>
          </w:p>
        </w:tc>
      </w:tr>
      <w:tr>
        <w:tc>
          <w:tcPr>
            <w:tcW w:type="dxa" w:w="288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Learning</w:t>
            </w:r>
          </w:p>
        </w:tc>
        <w:tc>
          <w:tcPr>
            <w:tcW w:type="dxa" w:w="633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Policy notes for IFAD and national stakeholders</w:t>
            </w:r>
          </w:p>
        </w:tc>
      </w:tr>
    </w:tbl>
    <w:p/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8. Indicative Resources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88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60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Detail</w:t>
            </w:r>
          </w:p>
        </w:tc>
        <w:tc>
          <w:tcPr>
            <w:tcW w:type="dxa" w:w="172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Amount</w:t>
            </w:r>
          </w:p>
        </w:tc>
      </w:tr>
      <w:tr>
        <w:tc>
          <w:tcPr>
            <w:tcW w:type="dxa" w:w="288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Research &amp; assessment design</w:t>
            </w:r>
          </w:p>
        </w:tc>
        <w:tc>
          <w:tcPr>
            <w:tcW w:type="dxa" w:w="460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Methods, partners, ethics</w:t>
            </w:r>
          </w:p>
        </w:tc>
        <w:tc>
          <w:tcPr>
            <w:tcW w:type="dxa" w:w="172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Share of grant</w:t>
            </w:r>
          </w:p>
        </w:tc>
      </w:tr>
      <w:tr>
        <w:tc>
          <w:tcPr>
            <w:tcW w:type="dxa" w:w="288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Community data &amp; FCHIP modules</w:t>
            </w:r>
          </w:p>
        </w:tc>
        <w:tc>
          <w:tcPr>
            <w:tcW w:type="dxa" w:w="460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Indicators, dashboards, quality</w:t>
            </w:r>
          </w:p>
        </w:tc>
        <w:tc>
          <w:tcPr>
            <w:tcW w:type="dxa" w:w="172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Share of grant</w:t>
            </w:r>
          </w:p>
        </w:tc>
      </w:tr>
      <w:tr>
        <w:tc>
          <w:tcPr>
            <w:tcW w:type="dxa" w:w="288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FairBanks counterpart</w:t>
            </w:r>
          </w:p>
        </w:tc>
        <w:tc>
          <w:tcPr>
            <w:tcW w:type="dxa" w:w="460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Field ops, staff, outreach</w:t>
            </w:r>
          </w:p>
        </w:tc>
        <w:tc>
          <w:tcPr>
            <w:tcW w:type="dxa" w:w="172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20–25% in-kind</w:t>
            </w:r>
          </w:p>
        </w:tc>
      </w:tr>
      <w:tr>
        <w:tc>
          <w:tcPr>
            <w:tcW w:type="dxa" w:w="288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Ceiling</w:t>
            </w:r>
          </w:p>
        </w:tc>
        <w:tc>
          <w:tcPr>
            <w:tcW w:type="dxa" w:w="460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Per call</w:t>
            </w:r>
          </w:p>
        </w:tc>
        <w:tc>
          <w:tcPr>
            <w:tcW w:type="dxa" w:w="172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Up to US$1.2M</w:t>
            </w:r>
          </w:p>
        </w:tc>
      </w:tr>
    </w:tbl>
    <w:p/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9. Risks &amp; Safeguards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Risk</w:t>
            </w:r>
          </w:p>
        </w:tc>
        <w:tc>
          <w:tcPr>
            <w:tcW w:type="dxa" w:w="576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Data quality in the field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Structured forms, validation, CHW training and supervision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Low digital literacy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Simple offline UX, local-language support, supervised rollout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Privacy and consent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Ethical governance aligned with Uganda data protection rules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Adoption by partners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Co-design with CHWs, clinics, and district users from day one</w:t>
            </w:r>
          </w:p>
        </w:tc>
      </w:tr>
    </w:tbl>
    <w:p/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10. Closing Ask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0688" cy="29260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audience_full_group_01_op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06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From community needs to lasting health impact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Rural development succeeds when families stay healthy enough to work and thrive. FairBanks can help IFAD see that link clearly.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will submit an EOI and proceed to full proposal only where official guidance confirms thematic fit.</w:t>
      </w:r>
    </w:p>
    <w:p>
      <w:pPr>
        <w:spacing w:after="160" w:before="160" w:line="288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after="160" w:before="16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6"/>
        </w:rPr>
        <w:t>Aligned with: https://opportunitiesforyouth.org/2026/07/14/ifad-announces-us1-2-million-grant-call-for-proposals-to-strengthen-rural-development-policies-worldwide/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