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1A3A5C"/>
          <w:sz w:val="40"/>
        </w:rPr>
        <w:t>ASS 4 — MANUSCRIPT QUALITY</w:t>
      </w:r>
    </w:p>
    <w:p>
      <w:pPr>
        <w:jc w:val="center"/>
      </w:pPr>
      <w:r>
        <w:rPr>
          <w:rFonts w:ascii="Calibri" w:hAnsi="Calibri" w:eastAsia="Calibri"/>
          <w:b/>
          <w:i w:val="0"/>
          <w:color w:val="2E5A88"/>
          <w:sz w:val="32"/>
        </w:rPr>
        <w:t>Editorial Audit Report</w:t>
      </w:r>
    </w:p>
    <w:p>
      <w:pPr>
        <w:jc w:val="center"/>
      </w:pPr>
      <w:r>
        <w:rPr>
          <w:rFonts w:ascii="Calibri" w:hAnsi="Calibri" w:eastAsia="Calibri"/>
          <w:b w:val="0"/>
          <w:i/>
          <w:sz w:val="24"/>
        </w:rPr>
        <w:t>The FairBanks Blueprint — Volume I: Vision (First Draft)</w:t>
      </w:r>
    </w:p>
    <w:p>
      <w:pPr>
        <w:jc w:val="center"/>
      </w:pPr>
      <w:r>
        <w:rPr>
          <w:rFonts w:ascii="Calibri" w:hAnsi="Calibri" w:eastAsia="Calibri"/>
          <w:b w:val="0"/>
          <w:i w:val="0"/>
          <w:sz w:val="20"/>
        </w:rPr>
        <w:t>Source file: 🚀 THE FAIRBANKS BLUEPRINT.docx</w:t>
      </w:r>
    </w:p>
    <w:p>
      <w:pPr>
        <w:jc w:val="center"/>
      </w:pPr>
      <w:r>
        <w:rPr>
          <w:rFonts w:ascii="Calibri" w:hAnsi="Calibri" w:eastAsia="Calibri"/>
          <w:b w:val="0"/>
          <w:i w:val="0"/>
          <w:sz w:val="20"/>
        </w:rPr>
        <w:t>Audit date: 10 August 2026  |  Status: Read-only review (original not edited)</w:t>
      </w:r>
    </w:p>
    <w:p>
      <w:pPr>
        <w:spacing w:after="120" w:line="276" w:lineRule="auto"/>
      </w:pPr>
      <w:r>
        <w:rPr>
          <w:rFonts w:ascii="Calibri" w:hAnsi="Calibri" w:eastAsia="Calibri"/>
          <w:b w:val="0"/>
          <w:i w:val="0"/>
          <w:sz w:val="22"/>
        </w:rPr>
        <w:t>This report reviews the first-draft manuscript for editorial quality only. The source document was not changed. Findings are ranked by severity so the editorial team can fix structure before polishing prose.</w:t>
      </w:r>
    </w:p>
    <w:p>
      <w:pPr>
        <w:spacing w:before="320" w:after="120"/>
      </w:pPr>
      <w:r>
        <w:rPr>
          <w:rFonts w:ascii="Calibri" w:hAnsi="Calibri" w:eastAsia="Calibri"/>
          <w:b/>
          <w:i w:val="0"/>
          <w:color w:val="1A3A5C"/>
          <w:sz w:val="28"/>
        </w:rPr>
        <w:t>1. Overall verdict</w:t>
      </w:r>
    </w:p>
    <w:p>
      <w:pPr>
        <w:spacing w:after="120" w:line="276" w:lineRule="auto"/>
      </w:pPr>
      <w:r>
        <w:rPr>
          <w:rFonts w:ascii="Calibri" w:hAnsi="Calibri" w:eastAsia="Calibri"/>
          <w:b w:val="0"/>
          <w:i w:val="0"/>
          <w:sz w:val="22"/>
        </w:rPr>
        <w:t>The manuscript has a strong institutional voice and a clear ambition. It is not yet ready for board adoption or external circulation. The main problems are structural: the Table of Contents does not match the body; Chapter Five is broken; two chapters are duplicated; listed figures, tables, and appendices are mostly missing; and production labels were left in the text.</w:t>
      </w:r>
    </w:p>
    <w:p>
      <w:pPr>
        <w:spacing w:after="120" w:line="276" w:lineRule="auto"/>
      </w:pPr>
      <w:r>
        <w:rPr>
          <w:rFonts w:ascii="Calibri" w:hAnsi="Calibri" w:eastAsia="Calibri"/>
          <w:b w:val="0"/>
          <w:i w:val="0"/>
          <w:sz w:val="22"/>
        </w:rPr>
        <w:t>Priority order for the next editorial pass: (1) fix chapter map and duplicates, (2) restore or remove missing front/back matter, (3) align frameworks and acronyms, (4) strip production labels and the leftover editorial comment, (5) tone down promotional claims and add evidence where claims are strong.</w:t>
      </w:r>
    </w:p>
    <w:p>
      <w:pPr>
        <w:spacing w:before="240" w:after="120"/>
      </w:pPr>
      <w:r>
        <w:rPr>
          <w:rFonts w:ascii="Calibri" w:hAnsi="Calibri" w:eastAsia="Calibri"/>
          <w:b/>
          <w:i w:val="0"/>
          <w:color w:val="1A3A5C"/>
          <w:sz w:val="24"/>
        </w:rPr>
        <w:t>Severity key</w:t>
      </w:r>
    </w:p>
    <w:tbl>
      <w:tblPr>
        <w:tblStyle w:val="TableGrid"/>
        <w:tblW w:type="auto" w:w="0"/>
        <w:jc w:val="left"/>
        <w:tblLook w:firstColumn="1" w:firstRow="1" w:lastColumn="0" w:lastRow="0" w:noHBand="0" w:noVBand="1" w:val="04A0"/>
      </w:tblPr>
      <w:tblGrid>
        <w:gridCol w:w="4680"/>
        <w:gridCol w:w="4680"/>
      </w:tblGrid>
      <w:tr>
        <w:tc>
          <w:tcPr>
            <w:tcW w:type="dxa" w:w="4680"/>
            <w:shd w:fill="1A3A5C" w:val="clear"/>
          </w:tcPr>
          <w:p>
            <w:r/>
            <w:r>
              <w:rPr>
                <w:rFonts w:ascii="Calibri" w:hAnsi="Calibri" w:eastAsia="Calibri"/>
                <w:b/>
                <w:i w:val="0"/>
                <w:color w:val="FFFFFF"/>
                <w:sz w:val="20"/>
              </w:rPr>
              <w:t>Severity</w:t>
            </w:r>
          </w:p>
        </w:tc>
        <w:tc>
          <w:tcPr>
            <w:tcW w:type="dxa" w:w="4680"/>
            <w:shd w:fill="1A3A5C" w:val="clear"/>
          </w:tcPr>
          <w:p>
            <w:r/>
            <w:r>
              <w:rPr>
                <w:rFonts w:ascii="Calibri" w:hAnsi="Calibri" w:eastAsia="Calibri"/>
                <w:b/>
                <w:i w:val="0"/>
                <w:color w:val="FFFFFF"/>
                <w:sz w:val="20"/>
              </w:rPr>
              <w:t>Meaning</w:t>
            </w:r>
          </w:p>
        </w:tc>
      </w:tr>
      <w:tr>
        <w:tc>
          <w:tcPr>
            <w:tcW w:type="dxa" w:w="4680"/>
          </w:tcPr>
          <w:p>
            <w:r/>
            <w:r>
              <w:rPr>
                <w:rFonts w:ascii="Calibri" w:hAnsi="Calibri" w:eastAsia="Calibri"/>
                <w:b w:val="0"/>
                <w:i w:val="0"/>
                <w:sz w:val="20"/>
              </w:rPr>
              <w:t>Critical</w:t>
            </w:r>
          </w:p>
        </w:tc>
        <w:tc>
          <w:tcPr>
            <w:tcW w:type="dxa" w:w="4680"/>
          </w:tcPr>
          <w:p>
            <w:r/>
            <w:r>
              <w:rPr>
                <w:rFonts w:ascii="Calibri" w:hAnsi="Calibri" w:eastAsia="Calibri"/>
                <w:b w:val="0"/>
                <w:i w:val="0"/>
                <w:sz w:val="20"/>
              </w:rPr>
              <w:t>Breaks navigation, accuracy, or credibility; fix before any external share</w:t>
            </w:r>
          </w:p>
        </w:tc>
      </w:tr>
      <w:tr>
        <w:tc>
          <w:tcPr>
            <w:tcW w:type="dxa" w:w="4680"/>
          </w:tcPr>
          <w:p>
            <w:r/>
            <w:r>
              <w:rPr>
                <w:rFonts w:ascii="Calibri" w:hAnsi="Calibri" w:eastAsia="Calibri"/>
                <w:b w:val="0"/>
                <w:i w:val="0"/>
                <w:sz w:val="20"/>
              </w:rPr>
              <w:t>Major</w:t>
            </w:r>
          </w:p>
        </w:tc>
        <w:tc>
          <w:tcPr>
            <w:tcW w:type="dxa" w:w="4680"/>
          </w:tcPr>
          <w:p>
            <w:r/>
            <w:r>
              <w:rPr>
                <w:rFonts w:ascii="Calibri" w:hAnsi="Calibri" w:eastAsia="Calibri"/>
                <w:b w:val="0"/>
                <w:i w:val="0"/>
                <w:sz w:val="20"/>
              </w:rPr>
              <w:t>Confuses readers or weakens argument; fix in this editorial round</w:t>
            </w:r>
          </w:p>
        </w:tc>
      </w:tr>
      <w:tr>
        <w:tc>
          <w:tcPr>
            <w:tcW w:type="dxa" w:w="4680"/>
          </w:tcPr>
          <w:p>
            <w:r/>
            <w:r>
              <w:rPr>
                <w:rFonts w:ascii="Calibri" w:hAnsi="Calibri" w:eastAsia="Calibri"/>
                <w:b w:val="0"/>
                <w:i w:val="0"/>
                <w:sz w:val="20"/>
              </w:rPr>
              <w:t>Moderate</w:t>
            </w:r>
          </w:p>
        </w:tc>
        <w:tc>
          <w:tcPr>
            <w:tcW w:type="dxa" w:w="4680"/>
          </w:tcPr>
          <w:p>
            <w:r/>
            <w:r>
              <w:rPr>
                <w:rFonts w:ascii="Calibri" w:hAnsi="Calibri" w:eastAsia="Calibri"/>
                <w:b w:val="0"/>
                <w:i w:val="0"/>
                <w:sz w:val="20"/>
              </w:rPr>
              <w:t>Quality and polish issue; fix before Founding Edition lock</w:t>
            </w:r>
          </w:p>
        </w:tc>
      </w:tr>
      <w:tr>
        <w:tc>
          <w:tcPr>
            <w:tcW w:type="dxa" w:w="4680"/>
          </w:tcPr>
          <w:p>
            <w:r/>
            <w:r>
              <w:rPr>
                <w:rFonts w:ascii="Calibri" w:hAnsi="Calibri" w:eastAsia="Calibri"/>
                <w:b w:val="0"/>
                <w:i w:val="0"/>
                <w:sz w:val="20"/>
              </w:rPr>
              <w:t>Minor</w:t>
            </w:r>
          </w:p>
        </w:tc>
        <w:tc>
          <w:tcPr>
            <w:tcW w:type="dxa" w:w="4680"/>
          </w:tcPr>
          <w:p>
            <w:r/>
            <w:r>
              <w:rPr>
                <w:rFonts w:ascii="Calibri" w:hAnsi="Calibri" w:eastAsia="Calibri"/>
                <w:b w:val="0"/>
                <w:i w:val="0"/>
                <w:sz w:val="20"/>
              </w:rPr>
              <w:t>Nice-to-fix consistency; can wait for copy-edit</w:t>
            </w:r>
          </w:p>
        </w:tc>
      </w:tr>
    </w:tbl>
    <w:p/>
    <w:p>
      <w:pPr>
        <w:spacing w:before="320" w:after="120"/>
      </w:pPr>
      <w:r>
        <w:rPr>
          <w:rFonts w:ascii="Calibri" w:hAnsi="Calibri" w:eastAsia="Calibri"/>
          <w:b/>
          <w:i w:val="0"/>
          <w:color w:val="1A3A5C"/>
          <w:sz w:val="28"/>
        </w:rPr>
        <w:t>2. Critical findings — structure and numbering</w:t>
      </w:r>
    </w:p>
    <w:p>
      <w:pPr>
        <w:spacing w:before="240" w:after="120"/>
      </w:pPr>
      <w:r>
        <w:rPr>
          <w:rFonts w:ascii="Calibri" w:hAnsi="Calibri" w:eastAsia="Calibri"/>
          <w:b/>
          <w:i w:val="0"/>
          <w:color w:val="1A3A5C"/>
          <w:sz w:val="24"/>
        </w:rPr>
        <w:t>2.1 Table of Contents does not match the body</w:t>
      </w:r>
    </w:p>
    <w:p>
      <w:pPr>
        <w:spacing w:after="120" w:line="276" w:lineRule="auto"/>
      </w:pPr>
      <w:r>
        <w:rPr>
          <w:rFonts w:ascii="Calibri" w:hAnsi="Calibri" w:eastAsia="Calibri"/>
          <w:b w:val="0"/>
          <w:i w:val="0"/>
          <w:sz w:val="22"/>
        </w:rPr>
        <w:t>Severity: Critical</w:t>
      </w:r>
    </w:p>
    <w:p>
      <w:pPr>
        <w:spacing w:after="120" w:line="276" w:lineRule="auto"/>
      </w:pPr>
      <w:r>
        <w:rPr>
          <w:rFonts w:ascii="Calibri" w:hAnsi="Calibri" w:eastAsia="Calibri"/>
          <w:b w:val="0"/>
          <w:i w:val="0"/>
          <w:sz w:val="22"/>
        </w:rPr>
        <w:t>The TOC describes a 23-chapter, five-part book. The body delivers a different map, with missing headings, skipped numbers, and renumbered content.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A3A5C" w:val="clear"/>
          </w:tcPr>
          <w:p>
            <w:r/>
            <w:r>
              <w:rPr>
                <w:rFonts w:ascii="Calibri" w:hAnsi="Calibri" w:eastAsia="Calibri"/>
                <w:b/>
                <w:i w:val="0"/>
                <w:color w:val="FFFFFF"/>
                <w:sz w:val="20"/>
              </w:rPr>
              <w:t>TOC (stated)</w:t>
            </w:r>
          </w:p>
        </w:tc>
        <w:tc>
          <w:tcPr>
            <w:tcW w:type="dxa" w:w="3120"/>
            <w:shd w:fill="1A3A5C" w:val="clear"/>
          </w:tcPr>
          <w:p>
            <w:r/>
            <w:r>
              <w:rPr>
                <w:rFonts w:ascii="Calibri" w:hAnsi="Calibri" w:eastAsia="Calibri"/>
                <w:b/>
                <w:i w:val="0"/>
                <w:color w:val="FFFFFF"/>
                <w:sz w:val="20"/>
              </w:rPr>
              <w:t>Body (actual)</w:t>
            </w:r>
          </w:p>
        </w:tc>
        <w:tc>
          <w:tcPr>
            <w:tcW w:type="dxa" w:w="3120"/>
            <w:shd w:fill="1A3A5C" w:val="clear"/>
          </w:tcPr>
          <w:p>
            <w:r/>
            <w:r>
              <w:rPr>
                <w:rFonts w:ascii="Calibri" w:hAnsi="Calibri" w:eastAsia="Calibri"/>
                <w:b/>
                <w:i w:val="0"/>
                <w:color w:val="FFFFFF"/>
                <w:sz w:val="20"/>
              </w:rPr>
              <w:t>Issue</w:t>
            </w:r>
          </w:p>
        </w:tc>
      </w:tr>
      <w:tr>
        <w:tc>
          <w:tcPr>
            <w:tcW w:type="dxa" w:w="3120"/>
          </w:tcPr>
          <w:p>
            <w:r/>
            <w:r>
              <w:rPr>
                <w:rFonts w:ascii="Calibri" w:hAnsi="Calibri" w:eastAsia="Calibri"/>
                <w:b w:val="0"/>
                <w:i w:val="0"/>
                <w:sz w:val="20"/>
              </w:rPr>
              <w:t>Ch 4: Transformation Framework</w:t>
            </w:r>
          </w:p>
        </w:tc>
        <w:tc>
          <w:tcPr>
            <w:tcW w:type="dxa" w:w="3120"/>
          </w:tcPr>
          <w:p>
            <w:r/>
            <w:r>
              <w:rPr>
                <w:rFonts w:ascii="Calibri" w:hAnsi="Calibri" w:eastAsia="Calibri"/>
                <w:b w:val="0"/>
                <w:i w:val="0"/>
                <w:sz w:val="20"/>
              </w:rPr>
              <w:t>Ch 4: FITF</w:t>
            </w:r>
          </w:p>
        </w:tc>
        <w:tc>
          <w:tcPr>
            <w:tcW w:type="dxa" w:w="3120"/>
          </w:tcPr>
          <w:p>
            <w:r/>
            <w:r>
              <w:rPr>
                <w:rFonts w:ascii="Calibri" w:hAnsi="Calibri" w:eastAsia="Calibri"/>
                <w:b w:val="0"/>
                <w:i w:val="0"/>
                <w:sz w:val="20"/>
              </w:rPr>
              <w:t>Title and subject mismatch</w:t>
            </w:r>
          </w:p>
        </w:tc>
      </w:tr>
      <w:tr>
        <w:tc>
          <w:tcPr>
            <w:tcW w:type="dxa" w:w="3120"/>
          </w:tcPr>
          <w:p>
            <w:r/>
            <w:r>
              <w:rPr>
                <w:rFonts w:ascii="Calibri" w:hAnsi="Calibri" w:eastAsia="Calibri"/>
                <w:b w:val="0"/>
                <w:i w:val="0"/>
                <w:sz w:val="20"/>
              </w:rPr>
              <w:t>Ch 5: FIHE</w:t>
            </w:r>
          </w:p>
        </w:tc>
        <w:tc>
          <w:tcPr>
            <w:tcW w:type="dxa" w:w="3120"/>
          </w:tcPr>
          <w:p>
            <w:r/>
            <w:r>
              <w:rPr>
                <w:rFonts w:ascii="Calibri" w:hAnsi="Calibri" w:eastAsia="Calibri"/>
                <w:b w:val="0"/>
                <w:i w:val="0"/>
                <w:sz w:val="20"/>
              </w:rPr>
              <w:t>No CHAPTER FIVE heading</w:t>
            </w:r>
          </w:p>
        </w:tc>
        <w:tc>
          <w:tcPr>
            <w:tcW w:type="dxa" w:w="3120"/>
          </w:tcPr>
          <w:p>
            <w:r/>
            <w:r>
              <w:rPr>
                <w:rFonts w:ascii="Calibri" w:hAnsi="Calibri" w:eastAsia="Calibri"/>
                <w:b w:val="0"/>
                <w:i w:val="0"/>
                <w:sz w:val="20"/>
              </w:rPr>
              <w:t>FIHE text starts mid-stream as 5.6–5.11</w:t>
            </w:r>
          </w:p>
        </w:tc>
      </w:tr>
      <w:tr>
        <w:tc>
          <w:tcPr>
            <w:tcW w:type="dxa" w:w="3120"/>
          </w:tcPr>
          <w:p>
            <w:r/>
            <w:r>
              <w:rPr>
                <w:rFonts w:ascii="Calibri" w:hAnsi="Calibri" w:eastAsia="Calibri"/>
                <w:b w:val="0"/>
                <w:i w:val="0"/>
                <w:sz w:val="20"/>
              </w:rPr>
              <w:t>Ch 6: FITF</w:t>
            </w:r>
          </w:p>
        </w:tc>
        <w:tc>
          <w:tcPr>
            <w:tcW w:type="dxa" w:w="3120"/>
          </w:tcPr>
          <w:p>
            <w:r/>
            <w:r>
              <w:rPr>
                <w:rFonts w:ascii="Calibri" w:hAnsi="Calibri" w:eastAsia="Calibri"/>
                <w:b w:val="0"/>
                <w:i w:val="0"/>
                <w:sz w:val="20"/>
              </w:rPr>
              <w:t>Ch 6: F7TM</w:t>
            </w:r>
          </w:p>
        </w:tc>
        <w:tc>
          <w:tcPr>
            <w:tcW w:type="dxa" w:w="3120"/>
          </w:tcPr>
          <w:p>
            <w:r/>
            <w:r>
              <w:rPr>
                <w:rFonts w:ascii="Calibri" w:hAnsi="Calibri" w:eastAsia="Calibri"/>
                <w:b w:val="0"/>
                <w:i w:val="0"/>
                <w:sz w:val="20"/>
              </w:rPr>
              <w:t>Whole Part II shifted</w:t>
            </w:r>
          </w:p>
        </w:tc>
      </w:tr>
      <w:tr>
        <w:tc>
          <w:tcPr>
            <w:tcW w:type="dxa" w:w="3120"/>
          </w:tcPr>
          <w:p>
            <w:r/>
            <w:r>
              <w:rPr>
                <w:rFonts w:ascii="Calibri" w:hAnsi="Calibri" w:eastAsia="Calibri"/>
                <w:b w:val="0"/>
                <w:i w:val="0"/>
                <w:sz w:val="20"/>
              </w:rPr>
              <w:t>Ch 7: F7TM</w:t>
            </w:r>
          </w:p>
        </w:tc>
        <w:tc>
          <w:tcPr>
            <w:tcW w:type="dxa" w:w="3120"/>
          </w:tcPr>
          <w:p>
            <w:r/>
            <w:r>
              <w:rPr>
                <w:rFonts w:ascii="Calibri" w:hAnsi="Calibri" w:eastAsia="Calibri"/>
                <w:b w:val="0"/>
                <w:i w:val="0"/>
                <w:sz w:val="20"/>
              </w:rPr>
              <w:t>Ch 7: FMM</w:t>
            </w:r>
          </w:p>
        </w:tc>
        <w:tc>
          <w:tcPr>
            <w:tcW w:type="dxa" w:w="3120"/>
          </w:tcPr>
          <w:p>
            <w:r/>
            <w:r>
              <w:rPr>
                <w:rFonts w:ascii="Calibri" w:hAnsi="Calibri" w:eastAsia="Calibri"/>
                <w:b w:val="0"/>
                <w:i w:val="0"/>
                <w:sz w:val="20"/>
              </w:rPr>
              <w:t>Shifted</w:t>
            </w:r>
          </w:p>
        </w:tc>
      </w:tr>
      <w:tr>
        <w:tc>
          <w:tcPr>
            <w:tcW w:type="dxa" w:w="3120"/>
          </w:tcPr>
          <w:p>
            <w:r/>
            <w:r>
              <w:rPr>
                <w:rFonts w:ascii="Calibri" w:hAnsi="Calibri" w:eastAsia="Calibri"/>
                <w:b w:val="0"/>
                <w:i w:val="0"/>
                <w:sz w:val="20"/>
              </w:rPr>
              <w:t>Ch 8: FMM</w:t>
            </w:r>
          </w:p>
        </w:tc>
        <w:tc>
          <w:tcPr>
            <w:tcW w:type="dxa" w:w="3120"/>
          </w:tcPr>
          <w:p>
            <w:r/>
            <w:r>
              <w:rPr>
                <w:rFonts w:ascii="Calibri" w:hAnsi="Calibri" w:eastAsia="Calibri"/>
                <w:b w:val="0"/>
                <w:i w:val="0"/>
                <w:sz w:val="20"/>
              </w:rPr>
              <w:t>Ch 8: FCHIP</w:t>
            </w:r>
          </w:p>
        </w:tc>
        <w:tc>
          <w:tcPr>
            <w:tcW w:type="dxa" w:w="3120"/>
          </w:tcPr>
          <w:p>
            <w:r/>
            <w:r>
              <w:rPr>
                <w:rFonts w:ascii="Calibri" w:hAnsi="Calibri" w:eastAsia="Calibri"/>
                <w:b w:val="0"/>
                <w:i w:val="0"/>
                <w:sz w:val="20"/>
              </w:rPr>
              <w:t>Shifted</w:t>
            </w:r>
          </w:p>
        </w:tc>
      </w:tr>
      <w:tr>
        <w:tc>
          <w:tcPr>
            <w:tcW w:type="dxa" w:w="3120"/>
          </w:tcPr>
          <w:p>
            <w:r/>
            <w:r>
              <w:rPr>
                <w:rFonts w:ascii="Calibri" w:hAnsi="Calibri" w:eastAsia="Calibri"/>
                <w:b w:val="0"/>
                <w:i w:val="0"/>
                <w:sz w:val="20"/>
              </w:rPr>
              <w:t>Ch 9: FCHIP</w:t>
            </w:r>
          </w:p>
        </w:tc>
        <w:tc>
          <w:tcPr>
            <w:tcW w:type="dxa" w:w="3120"/>
          </w:tcPr>
          <w:p>
            <w:r/>
            <w:r>
              <w:rPr>
                <w:rFonts w:ascii="Calibri" w:hAnsi="Calibri" w:eastAsia="Calibri"/>
                <w:b w:val="0"/>
                <w:i w:val="0"/>
                <w:sz w:val="20"/>
              </w:rPr>
              <w:t>Ch 9: CHIP</w:t>
            </w:r>
          </w:p>
        </w:tc>
        <w:tc>
          <w:tcPr>
            <w:tcW w:type="dxa" w:w="3120"/>
          </w:tcPr>
          <w:p>
            <w:r/>
            <w:r>
              <w:rPr>
                <w:rFonts w:ascii="Calibri" w:hAnsi="Calibri" w:eastAsia="Calibri"/>
                <w:b w:val="0"/>
                <w:i w:val="0"/>
                <w:sz w:val="20"/>
              </w:rPr>
              <w:t>Shifted</w:t>
            </w:r>
          </w:p>
        </w:tc>
      </w:tr>
      <w:tr>
        <w:tc>
          <w:tcPr>
            <w:tcW w:type="dxa" w:w="3120"/>
          </w:tcPr>
          <w:p>
            <w:r/>
            <w:r>
              <w:rPr>
                <w:rFonts w:ascii="Calibri" w:hAnsi="Calibri" w:eastAsia="Calibri"/>
                <w:b w:val="0"/>
                <w:i w:val="0"/>
                <w:sz w:val="20"/>
              </w:rPr>
              <w:t>Ch 10: CHIP</w:t>
            </w:r>
          </w:p>
        </w:tc>
        <w:tc>
          <w:tcPr>
            <w:tcW w:type="dxa" w:w="3120"/>
          </w:tcPr>
          <w:p>
            <w:r/>
            <w:r>
              <w:rPr>
                <w:rFonts w:ascii="Calibri" w:hAnsi="Calibri" w:eastAsia="Calibri"/>
                <w:b w:val="0"/>
                <w:i w:val="0"/>
                <w:sz w:val="20"/>
              </w:rPr>
              <w:t>Ch 10: Roadmap 2027–2032</w:t>
            </w:r>
          </w:p>
        </w:tc>
        <w:tc>
          <w:tcPr>
            <w:tcW w:type="dxa" w:w="3120"/>
          </w:tcPr>
          <w:p>
            <w:r/>
            <w:r>
              <w:rPr>
                <w:rFonts w:ascii="Calibri" w:hAnsi="Calibri" w:eastAsia="Calibri"/>
                <w:b w:val="0"/>
                <w:i w:val="0"/>
                <w:sz w:val="20"/>
              </w:rPr>
              <w:t>Shifted</w:t>
            </w:r>
          </w:p>
        </w:tc>
      </w:tr>
      <w:tr>
        <w:tc>
          <w:tcPr>
            <w:tcW w:type="dxa" w:w="3120"/>
          </w:tcPr>
          <w:p>
            <w:r/>
            <w:r>
              <w:rPr>
                <w:rFonts w:ascii="Calibri" w:hAnsi="Calibri" w:eastAsia="Calibri"/>
                <w:b w:val="0"/>
                <w:i w:val="0"/>
                <w:sz w:val="20"/>
              </w:rPr>
              <w:t>Ch 11–15: Roadmap → Brand</w:t>
            </w:r>
          </w:p>
        </w:tc>
        <w:tc>
          <w:tcPr>
            <w:tcW w:type="dxa" w:w="3120"/>
          </w:tcPr>
          <w:p>
            <w:r/>
            <w:r>
              <w:rPr>
                <w:rFonts w:ascii="Calibri" w:hAnsi="Calibri" w:eastAsia="Calibri"/>
                <w:b w:val="0"/>
                <w:i w:val="0"/>
                <w:sz w:val="20"/>
              </w:rPr>
              <w:t>Ch 11–14: Structure → Brand; Ch 15 MEL</w:t>
            </w:r>
          </w:p>
        </w:tc>
        <w:tc>
          <w:tcPr>
            <w:tcW w:type="dxa" w:w="3120"/>
          </w:tcPr>
          <w:p>
            <w:r/>
            <w:r>
              <w:rPr>
                <w:rFonts w:ascii="Calibri" w:hAnsi="Calibri" w:eastAsia="Calibri"/>
                <w:b w:val="0"/>
                <w:i w:val="0"/>
                <w:sz w:val="20"/>
              </w:rPr>
              <w:t>Titles and order diverge</w:t>
            </w:r>
          </w:p>
        </w:tc>
      </w:tr>
      <w:tr>
        <w:tc>
          <w:tcPr>
            <w:tcW w:type="dxa" w:w="3120"/>
          </w:tcPr>
          <w:p>
            <w:r/>
            <w:r>
              <w:rPr>
                <w:rFonts w:ascii="Calibri" w:hAnsi="Calibri" w:eastAsia="Calibri"/>
                <w:b w:val="0"/>
                <w:i w:val="0"/>
                <w:sz w:val="20"/>
              </w:rPr>
              <w:t>Ch 16–20: Implementation → Future</w:t>
            </w:r>
          </w:p>
        </w:tc>
        <w:tc>
          <w:tcPr>
            <w:tcW w:type="dxa" w:w="3120"/>
          </w:tcPr>
          <w:p>
            <w:r/>
            <w:r>
              <w:rPr>
                <w:rFonts w:ascii="Calibri" w:hAnsi="Calibri" w:eastAsia="Calibri"/>
                <w:b w:val="0"/>
                <w:i w:val="0"/>
                <w:sz w:val="20"/>
              </w:rPr>
              <w:t>Ch 16 Risk; twin Ch 17s; then 18–21</w:t>
            </w:r>
          </w:p>
        </w:tc>
        <w:tc>
          <w:tcPr>
            <w:tcW w:type="dxa" w:w="3120"/>
          </w:tcPr>
          <w:p>
            <w:r/>
            <w:r>
              <w:rPr>
                <w:rFonts w:ascii="Calibri" w:hAnsi="Calibri" w:eastAsia="Calibri"/>
                <w:b w:val="0"/>
                <w:i w:val="0"/>
                <w:sz w:val="20"/>
              </w:rPr>
              <w:t>Part labels and numbers broken</w:t>
            </w:r>
          </w:p>
        </w:tc>
      </w:tr>
      <w:tr>
        <w:tc>
          <w:tcPr>
            <w:tcW w:type="dxa" w:w="3120"/>
          </w:tcPr>
          <w:p>
            <w:r/>
            <w:r>
              <w:rPr>
                <w:rFonts w:ascii="Calibri" w:hAnsi="Calibri" w:eastAsia="Calibri"/>
                <w:b w:val="0"/>
                <w:i w:val="0"/>
                <w:sz w:val="20"/>
              </w:rPr>
              <w:t>Ch 21–23: Manifesto, Declaration, Covenant</w:t>
            </w:r>
          </w:p>
        </w:tc>
        <w:tc>
          <w:tcPr>
            <w:tcW w:type="dxa" w:w="3120"/>
          </w:tcPr>
          <w:p>
            <w:r/>
            <w:r>
              <w:rPr>
                <w:rFonts w:ascii="Calibri" w:hAnsi="Calibri" w:eastAsia="Calibri"/>
                <w:b w:val="0"/>
                <w:i w:val="0"/>
                <w:sz w:val="20"/>
              </w:rPr>
              <w:t>Ch 19–21 only; Covenant duplicated</w:t>
            </w:r>
          </w:p>
        </w:tc>
        <w:tc>
          <w:tcPr>
            <w:tcW w:type="dxa" w:w="3120"/>
          </w:tcPr>
          <w:p>
            <w:r/>
            <w:r>
              <w:rPr>
                <w:rFonts w:ascii="Calibri" w:hAnsi="Calibri" w:eastAsia="Calibri"/>
                <w:b w:val="0"/>
                <w:i w:val="0"/>
                <w:sz w:val="20"/>
              </w:rPr>
              <w:t>Part V incomplete / collapsed</w:t>
            </w:r>
          </w:p>
        </w:tc>
      </w:tr>
    </w:tbl>
    <w:p/>
    <w:p>
      <w:pPr>
        <w:spacing w:after="120" w:line="276" w:lineRule="auto"/>
      </w:pPr>
      <w:r>
        <w:rPr>
          <w:rFonts w:ascii="Calibri" w:hAnsi="Calibri" w:eastAsia="Calibri"/>
          <w:b w:val="0"/>
          <w:i w:val="0"/>
          <w:sz w:val="22"/>
        </w:rPr>
        <w:t>Also: Part II is titled “THE FAIRBANKS MODEL” in the TOC and “THE FAIRBANKS INSTITUTIONAL ARCHITECTURE” in the body. Part III has no body marker. Part IV appears late and is titled “THE FUTURE WE CHOOSE,” which the TOC assigns to Chapter Twenty / the closing vision — not to Part IV “Delivering the Vision.”</w:t>
      </w:r>
    </w:p>
    <w:p>
      <w:pPr>
        <w:spacing w:before="240" w:after="120"/>
      </w:pPr>
      <w:r>
        <w:rPr>
          <w:rFonts w:ascii="Calibri" w:hAnsi="Calibri" w:eastAsia="Calibri"/>
          <w:b/>
          <w:i w:val="0"/>
          <w:color w:val="1A3A5C"/>
          <w:sz w:val="24"/>
        </w:rPr>
        <w:t>2.2 Chapter Five is incomplete and orphaned</w:t>
      </w:r>
    </w:p>
    <w:p>
      <w:pPr>
        <w:spacing w:after="120" w:line="276" w:lineRule="auto"/>
      </w:pPr>
      <w:r>
        <w:rPr>
          <w:rFonts w:ascii="Calibri" w:hAnsi="Calibri" w:eastAsia="Calibri"/>
          <w:b w:val="0"/>
          <w:i w:val="0"/>
          <w:sz w:val="22"/>
        </w:rPr>
        <w:t>Severity: Critical</w:t>
      </w:r>
    </w:p>
    <w:p>
      <w:pPr>
        <w:pStyle w:val="ListBullet"/>
        <w:spacing w:after="60"/>
        <w:ind w:left="360"/>
      </w:pPr>
      <w:r>
        <w:rPr>
          <w:rFonts w:ascii="Calibri" w:hAnsi="Calibri" w:eastAsia="Calibri"/>
          <w:b w:val="0"/>
          <w:i w:val="0"/>
          <w:sz w:val="22"/>
        </w:rPr>
        <w:t>After “Transition to Chapter Five,” the text jumps straight to section 5.6. Sections 5.1–5.5 are missing.</w:t>
      </w:r>
    </w:p>
    <w:p>
      <w:pPr>
        <w:pStyle w:val="ListBullet"/>
        <w:spacing w:after="60"/>
        <w:ind w:left="360"/>
      </w:pPr>
      <w:r>
        <w:rPr>
          <w:rFonts w:ascii="Calibri" w:hAnsi="Calibri" w:eastAsia="Calibri"/>
          <w:b w:val="0"/>
          <w:i w:val="0"/>
          <w:sz w:val="22"/>
        </w:rPr>
        <w:t>There is no CHAPTER FIVE title page / opening block.</w:t>
      </w:r>
    </w:p>
    <w:p>
      <w:pPr>
        <w:pStyle w:val="ListBullet"/>
        <w:spacing w:after="60"/>
        <w:ind w:left="360"/>
      </w:pPr>
      <w:r>
        <w:rPr>
          <w:rFonts w:ascii="Calibri" w:hAnsi="Calibri" w:eastAsia="Calibri"/>
          <w:b w:val="0"/>
          <w:i w:val="0"/>
          <w:sz w:val="22"/>
        </w:rPr>
        <w:t>A second Chapter Summary appears inside what is still structurally Chapter Four’s zone, which will confuse layout and TOC generation.</w:t>
      </w:r>
    </w:p>
    <w:p>
      <w:pPr>
        <w:spacing w:after="120" w:line="276" w:lineRule="auto"/>
      </w:pPr>
      <w:r>
        <w:rPr>
          <w:rFonts w:ascii="Calibri" w:hAnsi="Calibri" w:eastAsia="Calibri"/>
          <w:b w:val="0"/>
          <w:i w:val="0"/>
          <w:sz w:val="22"/>
        </w:rPr>
        <w:t>Recommendation: Either restore a full FIHE chapter (5.1–5.11) with a proper heading, or merge FIHE fully into Chapter Four and renumber — then update every cross-reference and the TOC.</w:t>
      </w:r>
    </w:p>
    <w:p>
      <w:pPr>
        <w:spacing w:before="240" w:after="120"/>
      </w:pPr>
      <w:r>
        <w:rPr>
          <w:rFonts w:ascii="Calibri" w:hAnsi="Calibri" w:eastAsia="Calibri"/>
          <w:b/>
          <w:i w:val="0"/>
          <w:color w:val="1A3A5C"/>
          <w:sz w:val="24"/>
        </w:rPr>
        <w:t>2.3 Chapter Nine starts at section 9.5</w:t>
      </w:r>
    </w:p>
    <w:p>
      <w:pPr>
        <w:spacing w:after="120" w:line="276" w:lineRule="auto"/>
      </w:pPr>
      <w:r>
        <w:rPr>
          <w:rFonts w:ascii="Calibri" w:hAnsi="Calibri" w:eastAsia="Calibri"/>
          <w:b w:val="0"/>
          <w:i w:val="0"/>
          <w:sz w:val="22"/>
        </w:rPr>
        <w:t>Severity: Critical</w:t>
      </w:r>
    </w:p>
    <w:p>
      <w:pPr>
        <w:spacing w:after="120" w:line="276" w:lineRule="auto"/>
      </w:pPr>
      <w:r>
        <w:rPr>
          <w:rFonts w:ascii="Calibri" w:hAnsi="Calibri" w:eastAsia="Calibri"/>
          <w:b w:val="0"/>
          <w:i w:val="0"/>
          <w:sz w:val="22"/>
        </w:rPr>
        <w:t>The chapter title block is broken. The subtitle line is “9.5 The Community Health Insurance Operational Model,” which looks like a section heading that leaked into the title. Sections 9.1–9.4 are absent. The chapter therefore reads as a mid-document fragment, not a complete chapter.</w:t>
      </w:r>
    </w:p>
    <w:p>
      <w:pPr>
        <w:spacing w:before="240" w:after="120"/>
      </w:pPr>
      <w:r>
        <w:rPr>
          <w:rFonts w:ascii="Calibri" w:hAnsi="Calibri" w:eastAsia="Calibri"/>
          <w:b/>
          <w:i w:val="0"/>
          <w:color w:val="1A3A5C"/>
          <w:sz w:val="24"/>
        </w:rPr>
        <w:t>2.4 Duplicate Chapter 17 (two different drafts)</w:t>
      </w:r>
    </w:p>
    <w:p>
      <w:pPr>
        <w:spacing w:after="120" w:line="276" w:lineRule="auto"/>
      </w:pPr>
      <w:r>
        <w:rPr>
          <w:rFonts w:ascii="Calibri" w:hAnsi="Calibri" w:eastAsia="Calibri"/>
          <w:b w:val="0"/>
          <w:i w:val="0"/>
          <w:sz w:val="22"/>
        </w:rPr>
        <w:t>Severity: Critical</w:t>
      </w:r>
    </w:p>
    <w:p>
      <w:pPr>
        <w:spacing w:after="120" w:line="276" w:lineRule="auto"/>
      </w:pPr>
      <w:r>
        <w:rPr>
          <w:rFonts w:ascii="Calibri" w:hAnsi="Calibri" w:eastAsia="Calibri"/>
          <w:b w:val="0"/>
          <w:i w:val="0"/>
          <w:sz w:val="22"/>
        </w:rPr>
        <w:t>Two different Chapter 17 texts sit back-to-back:</w:t>
      </w:r>
    </w:p>
    <w:p>
      <w:pPr>
        <w:pStyle w:val="ListBullet"/>
        <w:spacing w:after="60"/>
        <w:ind w:left="360"/>
      </w:pPr>
      <w:r>
        <w:rPr>
          <w:rFonts w:ascii="Calibri" w:hAnsi="Calibri" w:eastAsia="Calibri"/>
          <w:b w:val="0"/>
          <w:i w:val="0"/>
          <w:sz w:val="22"/>
        </w:rPr>
        <w:t>Version A — “Investment and Sustainability Strategy” (shorter; introduces FISS).</w:t>
      </w:r>
    </w:p>
    <w:p>
      <w:pPr>
        <w:pStyle w:val="ListBullet"/>
        <w:spacing w:after="60"/>
        <w:ind w:left="360"/>
      </w:pPr>
      <w:r>
        <w:rPr>
          <w:rFonts w:ascii="Calibri" w:hAnsi="Calibri" w:eastAsia="Calibri"/>
          <w:b w:val="0"/>
          <w:i w:val="0"/>
          <w:sz w:val="22"/>
        </w:rPr>
        <w:t>Version B — “Strategic Investment, Stewardship and Institutional Sustainability” (much longer; introduces FSSF, FIPM, FSC, FIMS, Figure 17.1 / 17.2).</w:t>
      </w:r>
    </w:p>
    <w:p>
      <w:pPr>
        <w:spacing w:after="120" w:line="276" w:lineRule="auto"/>
      </w:pPr>
      <w:r>
        <w:rPr>
          <w:rFonts w:ascii="Calibri" w:hAnsi="Calibri" w:eastAsia="Calibri"/>
          <w:b w:val="0"/>
          <w:i w:val="0"/>
          <w:sz w:val="22"/>
        </w:rPr>
        <w:t>A transition after Version A already points to Chapter 18, then Version B restarts as Chapter 17. Editorial must choose one master version, merge unique content, and renumber.</w:t>
      </w:r>
    </w:p>
    <w:p>
      <w:pPr>
        <w:spacing w:before="240" w:after="120"/>
      </w:pPr>
      <w:r>
        <w:rPr>
          <w:rFonts w:ascii="Calibri" w:hAnsi="Calibri" w:eastAsia="Calibri"/>
          <w:b/>
          <w:i w:val="0"/>
          <w:color w:val="1A3A5C"/>
          <w:sz w:val="24"/>
        </w:rPr>
        <w:t>2.5 Duplicate Chapter 21 (exact copy)</w:t>
      </w:r>
    </w:p>
    <w:p>
      <w:pPr>
        <w:spacing w:after="120" w:line="276" w:lineRule="auto"/>
      </w:pPr>
      <w:r>
        <w:rPr>
          <w:rFonts w:ascii="Calibri" w:hAnsi="Calibri" w:eastAsia="Calibri"/>
          <w:b w:val="0"/>
          <w:i w:val="0"/>
          <w:sz w:val="22"/>
        </w:rPr>
        <w:t>Severity: Critical</w:t>
      </w:r>
    </w:p>
    <w:p>
      <w:pPr>
        <w:spacing w:after="120" w:line="276" w:lineRule="auto"/>
      </w:pPr>
      <w:r>
        <w:rPr>
          <w:rFonts w:ascii="Calibri" w:hAnsi="Calibri" w:eastAsia="Calibri"/>
          <w:b w:val="0"/>
          <w:i w:val="0"/>
          <w:sz w:val="22"/>
        </w:rPr>
        <w:t>“The FairBanks Covenant” appears twice in full. Compared line-for-line, the second copy matches the first. Delete one copy.</w:t>
      </w:r>
    </w:p>
    <w:p>
      <w:pPr>
        <w:spacing w:before="240" w:after="120"/>
      </w:pPr>
      <w:r>
        <w:rPr>
          <w:rFonts w:ascii="Calibri" w:hAnsi="Calibri" w:eastAsia="Calibri"/>
          <w:b/>
          <w:i w:val="0"/>
          <w:color w:val="1A3A5C"/>
          <w:sz w:val="24"/>
        </w:rPr>
        <w:t>2.6 Chapter numbering style is inconsistent</w:t>
      </w:r>
    </w:p>
    <w:p>
      <w:pPr>
        <w:spacing w:after="120" w:line="276" w:lineRule="auto"/>
      </w:pPr>
      <w:r>
        <w:rPr>
          <w:rFonts w:ascii="Calibri" w:hAnsi="Calibri" w:eastAsia="Calibri"/>
          <w:b w:val="0"/>
          <w:i w:val="0"/>
          <w:sz w:val="22"/>
        </w:rPr>
        <w:t>Severity: Major</w:t>
      </w:r>
    </w:p>
    <w:p>
      <w:pPr>
        <w:pStyle w:val="ListBullet"/>
        <w:spacing w:after="60"/>
        <w:ind w:left="360"/>
      </w:pPr>
      <w:r>
        <w:rPr>
          <w:rFonts w:ascii="Calibri" w:hAnsi="Calibri" w:eastAsia="Calibri"/>
          <w:b w:val="0"/>
          <w:i w:val="0"/>
          <w:sz w:val="22"/>
        </w:rPr>
        <w:t>Early chapters use words: CHAPTER ONE … CHAPTER NINE.</w:t>
      </w:r>
    </w:p>
    <w:p>
      <w:pPr>
        <w:pStyle w:val="ListBullet"/>
        <w:spacing w:after="60"/>
        <w:ind w:left="360"/>
      </w:pPr>
      <w:r>
        <w:rPr>
          <w:rFonts w:ascii="Calibri" w:hAnsi="Calibri" w:eastAsia="Calibri"/>
          <w:b w:val="0"/>
          <w:i w:val="0"/>
          <w:sz w:val="22"/>
        </w:rPr>
        <w:t>Later chapters use digits: CHAPTER 10 … CHAPTER 21.</w:t>
      </w:r>
    </w:p>
    <w:p>
      <w:pPr>
        <w:pStyle w:val="ListBullet"/>
        <w:spacing w:after="60"/>
        <w:ind w:left="360"/>
      </w:pPr>
      <w:r>
        <w:rPr>
          <w:rFonts w:ascii="Calibri" w:hAnsi="Calibri" w:eastAsia="Calibri"/>
          <w:b w:val="0"/>
          <w:i w:val="0"/>
          <w:sz w:val="22"/>
        </w:rPr>
        <w:t>TOC uses words throughout (Chapter Twenty-Three), while the body never reaches 22–23.</w:t>
      </w:r>
    </w:p>
    <w:p>
      <w:pPr>
        <w:spacing w:after="120" w:line="276" w:lineRule="auto"/>
      </w:pPr>
      <w:r>
        <w:rPr>
          <w:rFonts w:ascii="Calibri" w:hAnsi="Calibri" w:eastAsia="Calibri"/>
          <w:b w:val="0"/>
          <w:i w:val="0"/>
          <w:sz w:val="22"/>
        </w:rPr>
        <w:t>Recommendation: Pick one house style (prefer “Chapter 1” / “Chapter 21” for Word TOC fields) and apply it everywhere.</w:t>
      </w:r>
    </w:p>
    <w:p>
      <w:pPr>
        <w:spacing w:before="240" w:after="120"/>
      </w:pPr>
      <w:r>
        <w:rPr>
          <w:rFonts w:ascii="Calibri" w:hAnsi="Calibri" w:eastAsia="Calibri"/>
          <w:b/>
          <w:i w:val="0"/>
          <w:color w:val="1A3A5C"/>
          <w:sz w:val="24"/>
        </w:rPr>
        <w:t>2.7 Section numbering gaps</w:t>
      </w:r>
    </w:p>
    <w:p>
      <w:pPr>
        <w:spacing w:after="120" w:line="276" w:lineRule="auto"/>
      </w:pPr>
      <w:r>
        <w:rPr>
          <w:rFonts w:ascii="Calibri" w:hAnsi="Calibri" w:eastAsia="Calibri"/>
          <w:b w:val="0"/>
          <w:i w:val="0"/>
          <w:sz w:val="22"/>
        </w:rPr>
        <w:t>Severity: Major</w:t>
      </w:r>
    </w:p>
    <w:tbl>
      <w:tblPr>
        <w:tblStyle w:val="TableGrid"/>
        <w:tblW w:type="auto" w:w="0"/>
        <w:jc w:val="left"/>
        <w:tblLook w:firstColumn="1" w:firstRow="1" w:lastColumn="0" w:lastRow="0" w:noHBand="0" w:noVBand="1" w:val="04A0"/>
      </w:tblPr>
      <w:tblGrid>
        <w:gridCol w:w="4680"/>
        <w:gridCol w:w="4680"/>
      </w:tblGrid>
      <w:tr>
        <w:tc>
          <w:tcPr>
            <w:tcW w:type="dxa" w:w="4680"/>
            <w:shd w:fill="1A3A5C" w:val="clear"/>
          </w:tcPr>
          <w:p>
            <w:r/>
            <w:r>
              <w:rPr>
                <w:rFonts w:ascii="Calibri" w:hAnsi="Calibri" w:eastAsia="Calibri"/>
                <w:b/>
                <w:i w:val="0"/>
                <w:color w:val="FFFFFF"/>
                <w:sz w:val="20"/>
              </w:rPr>
              <w:t>Location</w:t>
            </w:r>
          </w:p>
        </w:tc>
        <w:tc>
          <w:tcPr>
            <w:tcW w:type="dxa" w:w="4680"/>
            <w:shd w:fill="1A3A5C" w:val="clear"/>
          </w:tcPr>
          <w:p>
            <w:r/>
            <w:r>
              <w:rPr>
                <w:rFonts w:ascii="Calibri" w:hAnsi="Calibri" w:eastAsia="Calibri"/>
                <w:b/>
                <w:i w:val="0"/>
                <w:color w:val="FFFFFF"/>
                <w:sz w:val="20"/>
              </w:rPr>
              <w:t>Gap</w:t>
            </w:r>
          </w:p>
        </w:tc>
      </w:tr>
      <w:tr>
        <w:tc>
          <w:tcPr>
            <w:tcW w:type="dxa" w:w="4680"/>
          </w:tcPr>
          <w:p>
            <w:r/>
            <w:r>
              <w:rPr>
                <w:rFonts w:ascii="Calibri" w:hAnsi="Calibri" w:eastAsia="Calibri"/>
                <w:b w:val="0"/>
                <w:i w:val="0"/>
                <w:sz w:val="20"/>
              </w:rPr>
              <w:t>Chapter 5</w:t>
            </w:r>
          </w:p>
        </w:tc>
        <w:tc>
          <w:tcPr>
            <w:tcW w:type="dxa" w:w="4680"/>
          </w:tcPr>
          <w:p>
            <w:r/>
            <w:r>
              <w:rPr>
                <w:rFonts w:ascii="Calibri" w:hAnsi="Calibri" w:eastAsia="Calibri"/>
                <w:b w:val="0"/>
                <w:i w:val="0"/>
                <w:sz w:val="20"/>
              </w:rPr>
              <w:t>5.1–5.5 missing</w:t>
            </w:r>
          </w:p>
        </w:tc>
      </w:tr>
      <w:tr>
        <w:tc>
          <w:tcPr>
            <w:tcW w:type="dxa" w:w="4680"/>
          </w:tcPr>
          <w:p>
            <w:r/>
            <w:r>
              <w:rPr>
                <w:rFonts w:ascii="Calibri" w:hAnsi="Calibri" w:eastAsia="Calibri"/>
                <w:b w:val="0"/>
                <w:i w:val="0"/>
                <w:sz w:val="20"/>
              </w:rPr>
              <w:t>Chapter 9</w:t>
            </w:r>
          </w:p>
        </w:tc>
        <w:tc>
          <w:tcPr>
            <w:tcW w:type="dxa" w:w="4680"/>
          </w:tcPr>
          <w:p>
            <w:r/>
            <w:r>
              <w:rPr>
                <w:rFonts w:ascii="Calibri" w:hAnsi="Calibri" w:eastAsia="Calibri"/>
                <w:b w:val="0"/>
                <w:i w:val="0"/>
                <w:sz w:val="20"/>
              </w:rPr>
              <w:t>9.1–9.4 missing; title contaminated by 9.5</w:t>
            </w:r>
          </w:p>
        </w:tc>
      </w:tr>
      <w:tr>
        <w:tc>
          <w:tcPr>
            <w:tcW w:type="dxa" w:w="4680"/>
          </w:tcPr>
          <w:p>
            <w:r/>
            <w:r>
              <w:rPr>
                <w:rFonts w:ascii="Calibri" w:hAnsi="Calibri" w:eastAsia="Calibri"/>
                <w:b w:val="0"/>
                <w:i w:val="0"/>
                <w:sz w:val="20"/>
              </w:rPr>
              <w:t>Chapter 18</w:t>
            </w:r>
          </w:p>
        </w:tc>
        <w:tc>
          <w:tcPr>
            <w:tcW w:type="dxa" w:w="4680"/>
          </w:tcPr>
          <w:p>
            <w:r/>
            <w:r>
              <w:rPr>
                <w:rFonts w:ascii="Calibri" w:hAnsi="Calibri" w:eastAsia="Calibri"/>
                <w:b w:val="0"/>
                <w:i w:val="0"/>
                <w:sz w:val="20"/>
              </w:rPr>
              <w:t>18.7 missing (jumps 18.6 → 18.8)</w:t>
            </w:r>
          </w:p>
        </w:tc>
      </w:tr>
      <w:tr>
        <w:tc>
          <w:tcPr>
            <w:tcW w:type="dxa" w:w="4680"/>
          </w:tcPr>
          <w:p>
            <w:r/>
            <w:r>
              <w:rPr>
                <w:rFonts w:ascii="Calibri" w:hAnsi="Calibri" w:eastAsia="Calibri"/>
                <w:b w:val="0"/>
                <w:i w:val="0"/>
                <w:sz w:val="20"/>
              </w:rPr>
              <w:t>Chapter 20</w:t>
            </w:r>
          </w:p>
        </w:tc>
        <w:tc>
          <w:tcPr>
            <w:tcW w:type="dxa" w:w="4680"/>
          </w:tcPr>
          <w:p>
            <w:r/>
            <w:r>
              <w:rPr>
                <w:rFonts w:ascii="Calibri" w:hAnsi="Calibri" w:eastAsia="Calibri"/>
                <w:b w:val="0"/>
                <w:i w:val="0"/>
                <w:sz w:val="20"/>
              </w:rPr>
              <w:t>20.5 missing (jumps 20.4 → 20.6)</w:t>
            </w:r>
          </w:p>
        </w:tc>
      </w:tr>
    </w:tbl>
    <w:p/>
    <w:p>
      <w:pPr>
        <w:spacing w:before="320" w:after="120"/>
      </w:pPr>
      <w:r>
        <w:rPr>
          <w:rFonts w:ascii="Calibri" w:hAnsi="Calibri" w:eastAsia="Calibri"/>
          <w:b/>
          <w:i w:val="0"/>
          <w:color w:val="1A3A5C"/>
          <w:sz w:val="28"/>
        </w:rPr>
        <w:t>3. Critical findings — leftover production text</w:t>
      </w:r>
    </w:p>
    <w:p>
      <w:pPr>
        <w:spacing w:before="240" w:after="120"/>
      </w:pPr>
      <w:r>
        <w:rPr>
          <w:rFonts w:ascii="Calibri" w:hAnsi="Calibri" w:eastAsia="Calibri"/>
          <w:b/>
          <w:i w:val="0"/>
          <w:color w:val="1A3A5C"/>
          <w:sz w:val="24"/>
        </w:rPr>
        <w:t>3.1 Structural labels left in the manuscript</w:t>
      </w:r>
    </w:p>
    <w:p>
      <w:pPr>
        <w:spacing w:after="120" w:line="276" w:lineRule="auto"/>
      </w:pPr>
      <w:r>
        <w:rPr>
          <w:rFonts w:ascii="Calibri" w:hAnsi="Calibri" w:eastAsia="Calibri"/>
          <w:b w:val="0"/>
          <w:i w:val="0"/>
          <w:sz w:val="22"/>
        </w:rPr>
        <w:t>Severity: Critical</w:t>
      </w:r>
    </w:p>
    <w:p>
      <w:pPr>
        <w:spacing w:after="120" w:line="276" w:lineRule="auto"/>
      </w:pPr>
      <w:r>
        <w:rPr>
          <w:rFonts w:ascii="Calibri" w:hAnsi="Calibri" w:eastAsia="Calibri"/>
          <w:b w:val="0"/>
          <w:i w:val="0"/>
          <w:sz w:val="22"/>
        </w:rPr>
        <w:t>These look like drafting scaffold labels that should never appear in a reader-facing edition:</w:t>
      </w:r>
    </w:p>
    <w:tbl>
      <w:tblPr>
        <w:tblStyle w:val="TableGrid"/>
        <w:tblW w:type="auto" w:w="0"/>
        <w:jc w:val="left"/>
        <w:tblLook w:firstColumn="1" w:firstRow="1" w:lastColumn="0" w:lastRow="0" w:noHBand="0" w:noVBand="1" w:val="04A0"/>
      </w:tblPr>
      <w:tblGrid>
        <w:gridCol w:w="4680"/>
        <w:gridCol w:w="4680"/>
      </w:tblGrid>
      <w:tr>
        <w:tc>
          <w:tcPr>
            <w:tcW w:type="dxa" w:w="4680"/>
            <w:shd w:fill="1A3A5C" w:val="clear"/>
          </w:tcPr>
          <w:p>
            <w:r/>
            <w:r>
              <w:rPr>
                <w:rFonts w:ascii="Calibri" w:hAnsi="Calibri" w:eastAsia="Calibri"/>
                <w:b/>
                <w:i w:val="0"/>
                <w:color w:val="FFFFFF"/>
                <w:sz w:val="20"/>
              </w:rPr>
              <w:t>Label left in text</w:t>
            </w:r>
          </w:p>
        </w:tc>
        <w:tc>
          <w:tcPr>
            <w:tcW w:type="dxa" w:w="4680"/>
            <w:shd w:fill="1A3A5C" w:val="clear"/>
          </w:tcPr>
          <w:p>
            <w:r/>
            <w:r>
              <w:rPr>
                <w:rFonts w:ascii="Calibri" w:hAnsi="Calibri" w:eastAsia="Calibri"/>
                <w:b/>
                <w:i w:val="0"/>
                <w:color w:val="FFFFFF"/>
                <w:sz w:val="20"/>
              </w:rPr>
              <w:t>Approx. count</w:t>
            </w:r>
          </w:p>
        </w:tc>
      </w:tr>
      <w:tr>
        <w:tc>
          <w:tcPr>
            <w:tcW w:type="dxa" w:w="4680"/>
          </w:tcPr>
          <w:p>
            <w:r/>
            <w:r>
              <w:rPr>
                <w:rFonts w:ascii="Calibri" w:hAnsi="Calibri" w:eastAsia="Calibri"/>
                <w:b w:val="0"/>
                <w:i w:val="0"/>
                <w:sz w:val="20"/>
              </w:rPr>
              <w:t>Chapter Opening</w:t>
            </w:r>
          </w:p>
        </w:tc>
        <w:tc>
          <w:tcPr>
            <w:tcW w:type="dxa" w:w="4680"/>
          </w:tcPr>
          <w:p>
            <w:r/>
            <w:r>
              <w:rPr>
                <w:rFonts w:ascii="Calibri" w:hAnsi="Calibri" w:eastAsia="Calibri"/>
                <w:b w:val="0"/>
                <w:i w:val="0"/>
                <w:sz w:val="20"/>
              </w:rPr>
              <w:t>7</w:t>
            </w:r>
          </w:p>
        </w:tc>
      </w:tr>
      <w:tr>
        <w:tc>
          <w:tcPr>
            <w:tcW w:type="dxa" w:w="4680"/>
          </w:tcPr>
          <w:p>
            <w:r/>
            <w:r>
              <w:rPr>
                <w:rFonts w:ascii="Calibri" w:hAnsi="Calibri" w:eastAsia="Calibri"/>
                <w:b w:val="0"/>
                <w:i w:val="0"/>
                <w:sz w:val="20"/>
              </w:rPr>
              <w:t>Chapter Section Opening</w:t>
            </w:r>
          </w:p>
        </w:tc>
        <w:tc>
          <w:tcPr>
            <w:tcW w:type="dxa" w:w="4680"/>
          </w:tcPr>
          <w:p>
            <w:r/>
            <w:r>
              <w:rPr>
                <w:rFonts w:ascii="Calibri" w:hAnsi="Calibri" w:eastAsia="Calibri"/>
                <w:b w:val="0"/>
                <w:i w:val="0"/>
                <w:sz w:val="20"/>
              </w:rPr>
              <w:t>19</w:t>
            </w:r>
          </w:p>
        </w:tc>
      </w:tr>
      <w:tr>
        <w:tc>
          <w:tcPr>
            <w:tcW w:type="dxa" w:w="4680"/>
          </w:tcPr>
          <w:p>
            <w:r/>
            <w:r>
              <w:rPr>
                <w:rFonts w:ascii="Calibri" w:hAnsi="Calibri" w:eastAsia="Calibri"/>
                <w:b w:val="0"/>
                <w:i w:val="0"/>
                <w:sz w:val="20"/>
              </w:rPr>
              <w:t>Chapter Summary</w:t>
            </w:r>
          </w:p>
        </w:tc>
        <w:tc>
          <w:tcPr>
            <w:tcW w:type="dxa" w:w="4680"/>
          </w:tcPr>
          <w:p>
            <w:r/>
            <w:r>
              <w:rPr>
                <w:rFonts w:ascii="Calibri" w:hAnsi="Calibri" w:eastAsia="Calibri"/>
                <w:b w:val="0"/>
                <w:i w:val="0"/>
                <w:sz w:val="20"/>
              </w:rPr>
              <w:t>18</w:t>
            </w:r>
          </w:p>
        </w:tc>
      </w:tr>
      <w:tr>
        <w:tc>
          <w:tcPr>
            <w:tcW w:type="dxa" w:w="4680"/>
          </w:tcPr>
          <w:p>
            <w:r/>
            <w:r>
              <w:rPr>
                <w:rFonts w:ascii="Calibri" w:hAnsi="Calibri" w:eastAsia="Calibri"/>
                <w:b w:val="0"/>
                <w:i w:val="0"/>
                <w:sz w:val="20"/>
              </w:rPr>
              <w:t>Opening Quote</w:t>
            </w:r>
          </w:p>
        </w:tc>
        <w:tc>
          <w:tcPr>
            <w:tcW w:type="dxa" w:w="4680"/>
          </w:tcPr>
          <w:p>
            <w:r/>
            <w:r>
              <w:rPr>
                <w:rFonts w:ascii="Calibri" w:hAnsi="Calibri" w:eastAsia="Calibri"/>
                <w:b w:val="0"/>
                <w:i w:val="0"/>
                <w:sz w:val="20"/>
              </w:rPr>
              <w:t>14</w:t>
            </w:r>
          </w:p>
        </w:tc>
      </w:tr>
    </w:tbl>
    <w:p/>
    <w:p>
      <w:pPr>
        <w:spacing w:after="120" w:line="276" w:lineRule="auto"/>
      </w:pPr>
      <w:r>
        <w:rPr>
          <w:rFonts w:ascii="Calibri" w:hAnsi="Calibri" w:eastAsia="Calibri"/>
          <w:b w:val="0"/>
          <w:i w:val="0"/>
          <w:sz w:val="22"/>
        </w:rPr>
        <w:t>Recommendation: Convert each into real typography (pull-quote style, section opener, summary box) or delete the label line while keeping the content beneath it.</w:t>
      </w:r>
    </w:p>
    <w:p>
      <w:pPr>
        <w:spacing w:before="240" w:after="120"/>
      </w:pPr>
      <w:r>
        <w:rPr>
          <w:rFonts w:ascii="Calibri" w:hAnsi="Calibri" w:eastAsia="Calibri"/>
          <w:b/>
          <w:i w:val="0"/>
          <w:color w:val="1A3A5C"/>
          <w:sz w:val="24"/>
        </w:rPr>
        <w:t>3.2 Editorial / AI leftover comment in the main text</w:t>
      </w:r>
    </w:p>
    <w:p>
      <w:pPr>
        <w:spacing w:after="120" w:line="276" w:lineRule="auto"/>
      </w:pPr>
      <w:r>
        <w:rPr>
          <w:rFonts w:ascii="Calibri" w:hAnsi="Calibri" w:eastAsia="Calibri"/>
          <w:b w:val="0"/>
          <w:i w:val="0"/>
          <w:sz w:val="22"/>
        </w:rPr>
        <w:t>Severity: Critical</w:t>
      </w:r>
    </w:p>
    <w:p>
      <w:pPr>
        <w:spacing w:after="120" w:line="276" w:lineRule="auto"/>
      </w:pPr>
      <w:r>
        <w:rPr>
          <w:rFonts w:ascii="Calibri" w:hAnsi="Calibri" w:eastAsia="Calibri"/>
          <w:b w:val="0"/>
          <w:i w:val="0"/>
          <w:sz w:val="22"/>
        </w:rPr>
        <w:t>Immediately before the first Chapter 17 heading, this sentence remains in the manuscript:</w:t>
      </w:r>
    </w:p>
    <w:p>
      <w:pPr>
        <w:spacing w:after="120" w:line="276" w:lineRule="auto"/>
      </w:pPr>
      <w:r>
        <w:rPr>
          <w:rFonts w:ascii="Calibri" w:hAnsi="Calibri" w:eastAsia="Calibri"/>
          <w:b w:val="0"/>
          <w:i/>
          <w:sz w:val="22"/>
        </w:rPr>
        <w:t>“One recommendation I'd like to make before we finalize the manuscript is that the Founding Edition should include a visual summary diagram for every original FairBanks framework. For Chapter 16, we can create a circular FairBanks Organisational Resil…”</w:t>
      </w:r>
    </w:p>
    <w:p>
      <w:pPr>
        <w:spacing w:after="120" w:line="276" w:lineRule="auto"/>
      </w:pPr>
      <w:r>
        <w:rPr>
          <w:rFonts w:ascii="Calibri" w:hAnsi="Calibri" w:eastAsia="Calibri"/>
          <w:b w:val="0"/>
          <w:i w:val="0"/>
          <w:sz w:val="22"/>
        </w:rPr>
        <w:t>This reads as an editorial chat note, not institutional prose. Remove it and turn the useful idea into a tracked production task (figures for each framework).</w:t>
      </w:r>
    </w:p>
    <w:p>
      <w:pPr>
        <w:spacing w:before="320" w:after="120"/>
      </w:pPr>
      <w:r>
        <w:rPr>
          <w:rFonts w:ascii="Calibri" w:hAnsi="Calibri" w:eastAsia="Calibri"/>
          <w:b/>
          <w:i w:val="0"/>
          <w:color w:val="1A3A5C"/>
          <w:sz w:val="28"/>
        </w:rPr>
        <w:t>4. Front matter, lists, glossary, appendices</w:t>
      </w:r>
    </w:p>
    <w:p>
      <w:pPr>
        <w:spacing w:before="240" w:after="120"/>
      </w:pPr>
      <w:r>
        <w:rPr>
          <w:rFonts w:ascii="Calibri" w:hAnsi="Calibri" w:eastAsia="Calibri"/>
          <w:b/>
          <w:i w:val="0"/>
          <w:color w:val="1A3A5C"/>
          <w:sz w:val="24"/>
        </w:rPr>
        <w:t>4.1 TOC front-matter list vs what readers meet</w:t>
      </w:r>
    </w:p>
    <w:p>
      <w:pPr>
        <w:spacing w:after="120" w:line="276" w:lineRule="auto"/>
      </w:pPr>
      <w:r>
        <w:rPr>
          <w:rFonts w:ascii="Calibri" w:hAnsi="Calibri" w:eastAsia="Calibri"/>
          <w:b w:val="0"/>
          <w:i w:val="0"/>
          <w:sz w:val="22"/>
        </w:rPr>
        <w:t>Severity: Major</w:t>
      </w:r>
    </w:p>
    <w:p>
      <w:pPr>
        <w:spacing w:after="120" w:line="276" w:lineRule="auto"/>
      </w:pPr>
      <w:r>
        <w:rPr>
          <w:rFonts w:ascii="Calibri" w:hAnsi="Calibri" w:eastAsia="Calibri"/>
          <w:b w:val="0"/>
          <w:i w:val="0"/>
          <w:sz w:val="22"/>
        </w:rPr>
        <w:t>The TOC lists Cover Page, Publisher’s Note, Dedication, Foundational Statement, and Editor’s Preface. Related content exists in places (e.g. Founder’s Note, Dedication), but naming and order do not cleanly match the TOC. Page numbers are still a placeholder note (“Final page numbers to be generated…”). That is fine for draft stage, but the heading inventory should already be stable.</w:t>
      </w:r>
    </w:p>
    <w:p>
      <w:pPr>
        <w:spacing w:before="240" w:after="120"/>
      </w:pPr>
      <w:r>
        <w:rPr>
          <w:rFonts w:ascii="Calibri" w:hAnsi="Calibri" w:eastAsia="Calibri"/>
          <w:b/>
          <w:i w:val="0"/>
          <w:color w:val="1A3A5C"/>
          <w:sz w:val="24"/>
        </w:rPr>
        <w:t>4.2 List of Figures vs body</w:t>
      </w:r>
    </w:p>
    <w:p>
      <w:pPr>
        <w:spacing w:after="120" w:line="276" w:lineRule="auto"/>
      </w:pPr>
      <w:r>
        <w:rPr>
          <w:rFonts w:ascii="Calibri" w:hAnsi="Calibri" w:eastAsia="Calibri"/>
          <w:b w:val="0"/>
          <w:i w:val="0"/>
          <w:sz w:val="22"/>
        </w:rPr>
        <w:t>Severity: Critical</w:t>
      </w:r>
    </w:p>
    <w:p>
      <w:pPr>
        <w:spacing w:after="120" w:line="276" w:lineRule="auto"/>
      </w:pPr>
      <w:r>
        <w:rPr>
          <w:rFonts w:ascii="Calibri" w:hAnsi="Calibri" w:eastAsia="Calibri"/>
          <w:b w:val="0"/>
          <w:i w:val="0"/>
          <w:sz w:val="22"/>
        </w:rPr>
        <w:t>The List of Figures promises Figures 1–20 (architecture, FIHE, FITF, F7TM, FMM, FCHIP, CHIP, org chart, roadmap, financing, partnerships, brand, MEL, risk, theory of change, balanced scorecard, implementation cycle, etc.).</w:t>
      </w:r>
    </w:p>
    <w:p>
      <w:pPr>
        <w:spacing w:after="120" w:line="276" w:lineRule="auto"/>
      </w:pPr>
      <w:r>
        <w:rPr>
          <w:rFonts w:ascii="Calibri" w:hAnsi="Calibri" w:eastAsia="Calibri"/>
          <w:b w:val="0"/>
          <w:i w:val="0"/>
          <w:sz w:val="22"/>
        </w:rPr>
        <w:t>In the body text, only late figures are actually captioned:</w:t>
      </w:r>
    </w:p>
    <w:p>
      <w:pPr>
        <w:pStyle w:val="ListBullet"/>
        <w:spacing w:after="60"/>
        <w:ind w:left="360"/>
      </w:pPr>
      <w:r>
        <w:rPr>
          <w:rFonts w:ascii="Calibri" w:hAnsi="Calibri" w:eastAsia="Calibri"/>
          <w:b w:val="0"/>
          <w:i w:val="0"/>
          <w:sz w:val="22"/>
        </w:rPr>
        <w:t>Figure 17.1 — Investment and Sustainability Conceptual Framework</w:t>
      </w:r>
    </w:p>
    <w:p>
      <w:pPr>
        <w:pStyle w:val="ListBullet"/>
        <w:spacing w:after="60"/>
        <w:ind w:left="360"/>
      </w:pPr>
      <w:r>
        <w:rPr>
          <w:rFonts w:ascii="Calibri" w:hAnsi="Calibri" w:eastAsia="Calibri"/>
          <w:b w:val="0"/>
          <w:i w:val="0"/>
          <w:sz w:val="22"/>
        </w:rPr>
        <w:t>Figure 17.2 — appears twice (bare “Figure 17.2” then a full caption for FIMS)</w:t>
      </w:r>
    </w:p>
    <w:p>
      <w:pPr>
        <w:spacing w:after="120" w:line="276" w:lineRule="auto"/>
      </w:pPr>
      <w:r>
        <w:rPr>
          <w:rFonts w:ascii="Calibri" w:hAnsi="Calibri" w:eastAsia="Calibri"/>
          <w:b w:val="0"/>
          <w:i w:val="0"/>
          <w:sz w:val="22"/>
        </w:rPr>
        <w:t>Almost none of Figures 1–16 / 18–20 are present as numbered captions. Several “Reflection / Editorial Insight” boxes exist as single-cell tables, but they are not the figures named in the list.</w:t>
      </w:r>
    </w:p>
    <w:p>
      <w:pPr>
        <w:spacing w:after="120" w:line="276" w:lineRule="auto"/>
      </w:pPr>
      <w:r>
        <w:rPr>
          <w:rFonts w:ascii="Calibri" w:hAnsi="Calibri" w:eastAsia="Calibri"/>
          <w:b w:val="0"/>
          <w:i w:val="0"/>
          <w:sz w:val="22"/>
        </w:rPr>
        <w:t>Recommendation: Either insert the promised figures, or shrink the List of Figures to what truly exists. Do not leave a catalogue of ghost figures.</w:t>
      </w:r>
    </w:p>
    <w:p>
      <w:pPr>
        <w:spacing w:before="240" w:after="120"/>
      </w:pPr>
      <w:r>
        <w:rPr>
          <w:rFonts w:ascii="Calibri" w:hAnsi="Calibri" w:eastAsia="Calibri"/>
          <w:b/>
          <w:i w:val="0"/>
          <w:color w:val="1A3A5C"/>
          <w:sz w:val="24"/>
        </w:rPr>
        <w:t>4.3 List of Tables vs body</w:t>
      </w:r>
    </w:p>
    <w:p>
      <w:pPr>
        <w:spacing w:after="120" w:line="276" w:lineRule="auto"/>
      </w:pPr>
      <w:r>
        <w:rPr>
          <w:rFonts w:ascii="Calibri" w:hAnsi="Calibri" w:eastAsia="Calibri"/>
          <w:b w:val="0"/>
          <w:i w:val="0"/>
          <w:sz w:val="22"/>
        </w:rPr>
        <w:t>Severity: Critical</w:t>
      </w:r>
    </w:p>
    <w:p>
      <w:pPr>
        <w:spacing w:after="120" w:line="276" w:lineRule="auto"/>
      </w:pPr>
      <w:r>
        <w:rPr>
          <w:rFonts w:ascii="Calibri" w:hAnsi="Calibri" w:eastAsia="Calibri"/>
          <w:b w:val="0"/>
          <w:i w:val="0"/>
          <w:sz w:val="22"/>
        </w:rPr>
        <w:t>The List of Tables promises Tables 1–15, including SWOT Analysis, Brand Architecture, Enterprise Risk Register, and Investment Priorities. The body does not systematically caption “Table 1 … Table 15.” SWOT is listed but the word “SWOT” does not appear in the running text. Real data tables exist (maturity matrix, F7TM grid, acronyms, phase tables), but they are not reconciled to the published list.</w:t>
      </w:r>
    </w:p>
    <w:p>
      <w:pPr>
        <w:spacing w:before="240" w:after="120"/>
      </w:pPr>
      <w:r>
        <w:rPr>
          <w:rFonts w:ascii="Calibri" w:hAnsi="Calibri" w:eastAsia="Calibri"/>
          <w:b/>
          <w:i w:val="0"/>
          <w:color w:val="1A3A5C"/>
          <w:sz w:val="24"/>
        </w:rPr>
        <w:t>4.4 Glossary is a term list, not a glossary</w:t>
      </w:r>
    </w:p>
    <w:p>
      <w:pPr>
        <w:spacing w:after="120" w:line="276" w:lineRule="auto"/>
      </w:pPr>
      <w:r>
        <w:rPr>
          <w:rFonts w:ascii="Calibri" w:hAnsi="Calibri" w:eastAsia="Calibri"/>
          <w:b w:val="0"/>
          <w:i w:val="0"/>
          <w:sz w:val="22"/>
        </w:rPr>
        <w:t>Severity: Major</w:t>
      </w:r>
    </w:p>
    <w:p>
      <w:pPr>
        <w:spacing w:after="120" w:line="276" w:lineRule="auto"/>
      </w:pPr>
      <w:r>
        <w:rPr>
          <w:rFonts w:ascii="Calibri" w:hAnsi="Calibri" w:eastAsia="Calibri"/>
          <w:b w:val="0"/>
          <w:i w:val="0"/>
          <w:sz w:val="22"/>
        </w:rPr>
        <w:t>The Glossary says “Among the terms defined are:” then lists about 20 terms with no definitions. Either write the definitions or move the list to an index-of-terms until definitions are ready. Appendix O also promises a Glossary — that would be a third glossary location if both stay.</w:t>
      </w:r>
    </w:p>
    <w:p>
      <w:pPr>
        <w:spacing w:before="240" w:after="120"/>
      </w:pPr>
      <w:r>
        <w:rPr>
          <w:rFonts w:ascii="Calibri" w:hAnsi="Calibri" w:eastAsia="Calibri"/>
          <w:b/>
          <w:i w:val="0"/>
          <w:color w:val="1A3A5C"/>
          <w:sz w:val="24"/>
        </w:rPr>
        <w:t>4.5 Appendices A–O are listed but not delivered</w:t>
      </w:r>
    </w:p>
    <w:p>
      <w:pPr>
        <w:spacing w:after="120" w:line="276" w:lineRule="auto"/>
      </w:pPr>
      <w:r>
        <w:rPr>
          <w:rFonts w:ascii="Calibri" w:hAnsi="Calibri" w:eastAsia="Calibri"/>
          <w:b w:val="0"/>
          <w:i w:val="0"/>
          <w:sz w:val="22"/>
        </w:rPr>
        <w:t>Severity: Critical</w:t>
      </w:r>
    </w:p>
    <w:p>
      <w:pPr>
        <w:spacing w:after="120" w:line="276" w:lineRule="auto"/>
      </w:pPr>
      <w:r>
        <w:rPr>
          <w:rFonts w:ascii="Calibri" w:hAnsi="Calibri" w:eastAsia="Calibri"/>
          <w:b w:val="0"/>
          <w:i w:val="0"/>
          <w:sz w:val="22"/>
        </w:rPr>
        <w:t>The TOC lists Appendices A through O (org structure, architecture, FIHE, FITF, F7TM, FMM, FCHIP, CHIP, theory of change, roadmap, partnerships, balanced scorecard, risk register, M&amp;E matrix, glossary). None appear as appendix chapters after the Covenant. Either build them to match the final architecture, or remove them from the TOC until Volume II / technical annexes are ready.</w:t>
      </w:r>
    </w:p>
    <w:p>
      <w:pPr>
        <w:spacing w:after="120" w:line="276" w:lineRule="auto"/>
      </w:pPr>
      <w:r>
        <w:rPr>
          <w:rFonts w:ascii="Calibri" w:hAnsi="Calibri" w:eastAsia="Calibri"/>
          <w:b w:val="0"/>
          <w:i w:val="0"/>
          <w:sz w:val="22"/>
        </w:rPr>
        <w:t>Special risk: Appendix content will quickly drift from the late-introduced FIMS “master framework” (Figure 17.2) unless architecture is frozen first.</w:t>
      </w:r>
    </w:p>
    <w:p>
      <w:pPr>
        <w:spacing w:before="240" w:after="120"/>
      </w:pPr>
      <w:r>
        <w:rPr>
          <w:rFonts w:ascii="Calibri" w:hAnsi="Calibri" w:eastAsia="Calibri"/>
          <w:b/>
          <w:i w:val="0"/>
          <w:color w:val="1A3A5C"/>
          <w:sz w:val="24"/>
        </w:rPr>
        <w:t>4.6 Acronym list is incomplete relative to the body</w:t>
      </w:r>
    </w:p>
    <w:p>
      <w:pPr>
        <w:spacing w:after="120" w:line="276" w:lineRule="auto"/>
      </w:pPr>
      <w:r>
        <w:rPr>
          <w:rFonts w:ascii="Calibri" w:hAnsi="Calibri" w:eastAsia="Calibri"/>
          <w:b w:val="0"/>
          <w:i w:val="0"/>
          <w:sz w:val="22"/>
        </w:rPr>
        <w:t>Severity: Major</w:t>
      </w:r>
    </w:p>
    <w:p>
      <w:pPr>
        <w:spacing w:after="120" w:line="276" w:lineRule="auto"/>
      </w:pPr>
      <w:r>
        <w:rPr>
          <w:rFonts w:ascii="Calibri" w:hAnsi="Calibri" w:eastAsia="Calibri"/>
          <w:b w:val="0"/>
          <w:i w:val="0"/>
          <w:sz w:val="22"/>
        </w:rPr>
        <w:t>The acronym table covers the core six (FIHE, FITF, F7TM, FMM, FCHIP, CHIP) plus general terms. The body later invents many additional frameworks that are lightly or never listed:</w:t>
      </w:r>
    </w:p>
    <w:p>
      <w:pPr>
        <w:pStyle w:val="ListBullet"/>
        <w:spacing w:after="60"/>
        <w:ind w:left="360"/>
      </w:pPr>
      <w:r>
        <w:rPr>
          <w:rFonts w:ascii="Calibri" w:hAnsi="Calibri" w:eastAsia="Calibri"/>
          <w:b w:val="0"/>
          <w:i w:val="0"/>
          <w:sz w:val="22"/>
        </w:rPr>
        <w:t>FSFF, FFSS, FSPCDF, FIIF, FIIS, MELKMF, FERMRF, FISS, FSSF, FIPM, FSC, FIMS</w:t>
      </w:r>
    </w:p>
    <w:p>
      <w:pPr>
        <w:spacing w:after="120" w:line="276" w:lineRule="auto"/>
      </w:pPr>
      <w:r>
        <w:rPr>
          <w:rFonts w:ascii="Calibri" w:hAnsi="Calibri" w:eastAsia="Calibri"/>
          <w:b w:val="0"/>
          <w:i w:val="0"/>
          <w:sz w:val="22"/>
        </w:rPr>
        <w:t>GIS appears in the acronym list but barely/never in running prose. That suggests list drift.</w:t>
      </w:r>
    </w:p>
    <w:p>
      <w:pPr>
        <w:spacing w:before="320" w:after="120"/>
      </w:pPr>
      <w:r>
        <w:rPr>
          <w:rFonts w:ascii="Calibri" w:hAnsi="Calibri" w:eastAsia="Calibri"/>
          <w:b/>
          <w:i w:val="0"/>
          <w:color w:val="1A3A5C"/>
          <w:sz w:val="28"/>
        </w:rPr>
        <w:t>5. Inconsistent terminology and evolving framework names</w:t>
      </w:r>
    </w:p>
    <w:p>
      <w:pPr>
        <w:spacing w:before="240" w:after="120"/>
      </w:pPr>
      <w:r>
        <w:rPr>
          <w:rFonts w:ascii="Calibri" w:hAnsi="Calibri" w:eastAsia="Calibri"/>
          <w:b/>
          <w:i w:val="0"/>
          <w:color w:val="1A3A5C"/>
          <w:sz w:val="24"/>
        </w:rPr>
        <w:t>5.1 “Six frameworks” vs a growing framework family</w:t>
      </w:r>
    </w:p>
    <w:p>
      <w:pPr>
        <w:spacing w:after="120" w:line="276" w:lineRule="auto"/>
      </w:pPr>
      <w:r>
        <w:rPr>
          <w:rFonts w:ascii="Calibri" w:hAnsi="Calibri" w:eastAsia="Calibri"/>
          <w:b w:val="0"/>
          <w:i w:val="0"/>
          <w:sz w:val="22"/>
        </w:rPr>
        <w:t>Severity: Major</w:t>
      </w:r>
    </w:p>
    <w:p>
      <w:pPr>
        <w:spacing w:after="120" w:line="276" w:lineRule="auto"/>
      </w:pPr>
      <w:r>
        <w:rPr>
          <w:rFonts w:ascii="Calibri" w:hAnsi="Calibri" w:eastAsia="Calibri"/>
          <w:b w:val="0"/>
          <w:i w:val="0"/>
          <w:sz w:val="22"/>
        </w:rPr>
        <w:t>The Executive Summary repeatedly presents six original institutional frameworks. Later chapters add many more named frameworks and scorecards (financing, partnerships, influence, MELKM, risk, stewardship, investment prioritisation, sustainability compass, and finally FIMS as an integrated master architecture). Readers will ask: are the six still primary, or has FIMS replaced them?</w:t>
      </w:r>
    </w:p>
    <w:p>
      <w:pPr>
        <w:spacing w:after="120" w:line="276" w:lineRule="auto"/>
      </w:pPr>
      <w:r>
        <w:rPr>
          <w:rFonts w:ascii="Calibri" w:hAnsi="Calibri" w:eastAsia="Calibri"/>
          <w:b w:val="0"/>
          <w:i w:val="0"/>
          <w:sz w:val="22"/>
        </w:rPr>
        <w:t>Recommendation: Keep “the six” as the core model. Relabel later tools as supporting instruments / scorecards under those six (or under FIMS), and update the Executive Summary accordingly.</w:t>
      </w:r>
    </w:p>
    <w:p>
      <w:pPr>
        <w:spacing w:before="240" w:after="120"/>
      </w:pPr>
      <w:r>
        <w:rPr>
          <w:rFonts w:ascii="Calibri" w:hAnsi="Calibri" w:eastAsia="Calibri"/>
          <w:b/>
          <w:i w:val="0"/>
          <w:color w:val="1A3A5C"/>
          <w:sz w:val="24"/>
        </w:rPr>
        <w:t>5.2 Transformation Framework vs FITF</w:t>
      </w:r>
    </w:p>
    <w:p>
      <w:pPr>
        <w:spacing w:after="120" w:line="276" w:lineRule="auto"/>
      </w:pPr>
      <w:r>
        <w:rPr>
          <w:rFonts w:ascii="Calibri" w:hAnsi="Calibri" w:eastAsia="Calibri"/>
          <w:b w:val="0"/>
          <w:i w:val="0"/>
          <w:sz w:val="22"/>
        </w:rPr>
        <w:t>Severity: Major</w:t>
      </w:r>
    </w:p>
    <w:p>
      <w:pPr>
        <w:spacing w:after="120" w:line="276" w:lineRule="auto"/>
      </w:pPr>
      <w:r>
        <w:rPr>
          <w:rFonts w:ascii="Calibri" w:hAnsi="Calibri" w:eastAsia="Calibri"/>
          <w:b w:val="0"/>
          <w:i w:val="0"/>
          <w:sz w:val="22"/>
        </w:rPr>
        <w:t>The TOC and List of Figures still treat “FairBanks Transformation Framework” (Figure 4) as separate from FITF (Figure 6). The body Chapter Four is FITF. This looks like an older name that evolved. Pick one canonical name and retire the other everywhere.</w:t>
      </w:r>
    </w:p>
    <w:p>
      <w:pPr>
        <w:spacing w:before="240" w:after="120"/>
      </w:pPr>
      <w:r>
        <w:rPr>
          <w:rFonts w:ascii="Calibri" w:hAnsi="Calibri" w:eastAsia="Calibri"/>
          <w:b/>
          <w:i w:val="0"/>
          <w:color w:val="1A3A5C"/>
          <w:sz w:val="24"/>
        </w:rPr>
        <w:t>5.3 CHIP naming</w:t>
      </w:r>
    </w:p>
    <w:p>
      <w:pPr>
        <w:spacing w:after="120" w:line="276" w:lineRule="auto"/>
      </w:pPr>
      <w:r>
        <w:rPr>
          <w:rFonts w:ascii="Calibri" w:hAnsi="Calibri" w:eastAsia="Calibri"/>
          <w:b w:val="0"/>
          <w:i w:val="0"/>
          <w:sz w:val="22"/>
        </w:rPr>
        <w:t>Severity: Moderate</w:t>
      </w:r>
    </w:p>
    <w:p>
      <w:pPr>
        <w:spacing w:after="120" w:line="276" w:lineRule="auto"/>
      </w:pPr>
      <w:r>
        <w:rPr>
          <w:rFonts w:ascii="Calibri" w:hAnsi="Calibri" w:eastAsia="Calibri"/>
          <w:b w:val="0"/>
          <w:i w:val="0"/>
          <w:sz w:val="22"/>
        </w:rPr>
        <w:t>The manuscript consistently uses Community Health Insurance Programme (CHIP). Related FairBanks narrative materials elsewhere sometimes use CHIS (Community Health Insurance Scheme). Within this Blueprint, CHIP is internally consistent — good — but if the organisation is standardising on one legal/programme name, lock it now and update partner materials.</w:t>
      </w:r>
    </w:p>
    <w:p>
      <w:pPr>
        <w:spacing w:before="240" w:after="120"/>
      </w:pPr>
      <w:r>
        <w:rPr>
          <w:rFonts w:ascii="Calibri" w:hAnsi="Calibri" w:eastAsia="Calibri"/>
          <w:b/>
          <w:i w:val="0"/>
          <w:color w:val="1A3A5C"/>
          <w:sz w:val="24"/>
        </w:rPr>
        <w:t>5.4 FCHIP vs CHIP confusion risk</w:t>
      </w:r>
    </w:p>
    <w:p>
      <w:pPr>
        <w:spacing w:after="120" w:line="276" w:lineRule="auto"/>
      </w:pPr>
      <w:r>
        <w:rPr>
          <w:rFonts w:ascii="Calibri" w:hAnsi="Calibri" w:eastAsia="Calibri"/>
          <w:b w:val="0"/>
          <w:i w:val="0"/>
          <w:sz w:val="22"/>
        </w:rPr>
        <w:t>Severity: Moderate</w:t>
      </w:r>
    </w:p>
    <w:p>
      <w:pPr>
        <w:spacing w:after="120" w:line="276" w:lineRule="auto"/>
      </w:pPr>
      <w:r>
        <w:rPr>
          <w:rFonts w:ascii="Calibri" w:hAnsi="Calibri" w:eastAsia="Calibri"/>
          <w:b w:val="0"/>
          <w:i w:val="0"/>
          <w:sz w:val="22"/>
        </w:rPr>
        <w:t>Both acronyms appear often (FCHIP ~86; CHIP ~134). In “How to Read This Blueprint,” several audience lists print bare “FCHIP” and “CHIP” as bullet items without expansion. First-time readers will mix them up. Always expand on first use in each major part, and avoid adjacent bare-acronym bullets.</w:t>
      </w:r>
    </w:p>
    <w:p>
      <w:pPr>
        <w:spacing w:before="240" w:after="120"/>
      </w:pPr>
      <w:r>
        <w:rPr>
          <w:rFonts w:ascii="Calibri" w:hAnsi="Calibri" w:eastAsia="Calibri"/>
          <w:b/>
          <w:i w:val="0"/>
          <w:color w:val="1A3A5C"/>
          <w:sz w:val="24"/>
        </w:rPr>
        <w:t>5.5 Spelling mix (British / American)</w:t>
      </w:r>
    </w:p>
    <w:p>
      <w:pPr>
        <w:spacing w:after="120" w:line="276" w:lineRule="auto"/>
      </w:pPr>
      <w:r>
        <w:rPr>
          <w:rFonts w:ascii="Calibri" w:hAnsi="Calibri" w:eastAsia="Calibri"/>
          <w:b w:val="0"/>
          <w:i w:val="0"/>
          <w:sz w:val="22"/>
        </w:rPr>
        <w:t>Severity: Moderate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A3A5C" w:val="clear"/>
          </w:tcPr>
          <w:p>
            <w:r/>
            <w:r>
              <w:rPr>
                <w:rFonts w:ascii="Calibri" w:hAnsi="Calibri" w:eastAsia="Calibri"/>
                <w:b/>
                <w:i w:val="0"/>
                <w:color w:val="FFFFFF"/>
                <w:sz w:val="20"/>
              </w:rPr>
              <w:t>Variant A</w:t>
            </w:r>
          </w:p>
        </w:tc>
        <w:tc>
          <w:tcPr>
            <w:tcW w:type="dxa" w:w="2340"/>
            <w:shd w:fill="1A3A5C" w:val="clear"/>
          </w:tcPr>
          <w:p>
            <w:r/>
            <w:r>
              <w:rPr>
                <w:rFonts w:ascii="Calibri" w:hAnsi="Calibri" w:eastAsia="Calibri"/>
                <w:b/>
                <w:i w:val="0"/>
                <w:color w:val="FFFFFF"/>
                <w:sz w:val="20"/>
              </w:rPr>
              <w:t>Count (approx.)</w:t>
            </w:r>
          </w:p>
        </w:tc>
        <w:tc>
          <w:tcPr>
            <w:tcW w:type="dxa" w:w="2340"/>
            <w:shd w:fill="1A3A5C" w:val="clear"/>
          </w:tcPr>
          <w:p>
            <w:r/>
            <w:r>
              <w:rPr>
                <w:rFonts w:ascii="Calibri" w:hAnsi="Calibri" w:eastAsia="Calibri"/>
                <w:b/>
                <w:i w:val="0"/>
                <w:color w:val="FFFFFF"/>
                <w:sz w:val="20"/>
              </w:rPr>
              <w:t>Variant B</w:t>
            </w:r>
          </w:p>
        </w:tc>
        <w:tc>
          <w:tcPr>
            <w:tcW w:type="dxa" w:w="2340"/>
            <w:shd w:fill="1A3A5C" w:val="clear"/>
          </w:tcPr>
          <w:p>
            <w:r/>
            <w:r>
              <w:rPr>
                <w:rFonts w:ascii="Calibri" w:hAnsi="Calibri" w:eastAsia="Calibri"/>
                <w:b/>
                <w:i w:val="0"/>
                <w:color w:val="FFFFFF"/>
                <w:sz w:val="20"/>
              </w:rPr>
              <w:t>Count (approx.)</w:t>
            </w:r>
          </w:p>
        </w:tc>
      </w:tr>
      <w:tr>
        <w:tc>
          <w:tcPr>
            <w:tcW w:type="dxa" w:w="2340"/>
          </w:tcPr>
          <w:p>
            <w:r/>
            <w:r>
              <w:rPr>
                <w:rFonts w:ascii="Calibri" w:hAnsi="Calibri" w:eastAsia="Calibri"/>
                <w:b w:val="0"/>
                <w:i w:val="0"/>
                <w:sz w:val="20"/>
              </w:rPr>
              <w:t>organisation / organisational</w:t>
            </w:r>
          </w:p>
        </w:tc>
        <w:tc>
          <w:tcPr>
            <w:tcW w:type="dxa" w:w="2340"/>
          </w:tcPr>
          <w:p>
            <w:r/>
            <w:r>
              <w:rPr>
                <w:rFonts w:ascii="Calibri" w:hAnsi="Calibri" w:eastAsia="Calibri"/>
                <w:b w:val="0"/>
                <w:i w:val="0"/>
                <w:sz w:val="20"/>
              </w:rPr>
              <w:t>291 / 210</w:t>
            </w:r>
          </w:p>
        </w:tc>
        <w:tc>
          <w:tcPr>
            <w:tcW w:type="dxa" w:w="2340"/>
          </w:tcPr>
          <w:p>
            <w:r/>
            <w:r>
              <w:rPr>
                <w:rFonts w:ascii="Calibri" w:hAnsi="Calibri" w:eastAsia="Calibri"/>
                <w:b w:val="0"/>
                <w:i w:val="0"/>
                <w:sz w:val="20"/>
              </w:rPr>
              <w:t>organization / organizational</w:t>
            </w:r>
          </w:p>
        </w:tc>
        <w:tc>
          <w:tcPr>
            <w:tcW w:type="dxa" w:w="2340"/>
          </w:tcPr>
          <w:p>
            <w:r/>
            <w:r>
              <w:rPr>
                <w:rFonts w:ascii="Calibri" w:hAnsi="Calibri" w:eastAsia="Calibri"/>
                <w:b w:val="0"/>
                <w:i w:val="0"/>
                <w:sz w:val="20"/>
              </w:rPr>
              <w:t>42 / 32</w:t>
            </w:r>
          </w:p>
        </w:tc>
      </w:tr>
      <w:tr>
        <w:tc>
          <w:tcPr>
            <w:tcW w:type="dxa" w:w="2340"/>
          </w:tcPr>
          <w:p>
            <w:r/>
            <w:r>
              <w:rPr>
                <w:rFonts w:ascii="Calibri" w:hAnsi="Calibri" w:eastAsia="Calibri"/>
                <w:b w:val="0"/>
                <w:i w:val="0"/>
                <w:sz w:val="20"/>
              </w:rPr>
              <w:t>programme</w:t>
            </w:r>
          </w:p>
        </w:tc>
        <w:tc>
          <w:tcPr>
            <w:tcW w:type="dxa" w:w="2340"/>
          </w:tcPr>
          <w:p>
            <w:r/>
            <w:r>
              <w:rPr>
                <w:rFonts w:ascii="Calibri" w:hAnsi="Calibri" w:eastAsia="Calibri"/>
                <w:b w:val="0"/>
                <w:i w:val="0"/>
                <w:sz w:val="20"/>
              </w:rPr>
              <w:t>153</w:t>
            </w:r>
          </w:p>
        </w:tc>
        <w:tc>
          <w:tcPr>
            <w:tcW w:type="dxa" w:w="2340"/>
          </w:tcPr>
          <w:p>
            <w:r/>
            <w:r>
              <w:rPr>
                <w:rFonts w:ascii="Calibri" w:hAnsi="Calibri" w:eastAsia="Calibri"/>
                <w:b w:val="0"/>
                <w:i w:val="0"/>
                <w:sz w:val="20"/>
              </w:rPr>
              <w:t>program</w:t>
            </w:r>
          </w:p>
        </w:tc>
        <w:tc>
          <w:tcPr>
            <w:tcW w:type="dxa" w:w="2340"/>
          </w:tcPr>
          <w:p>
            <w:r/>
            <w:r>
              <w:rPr>
                <w:rFonts w:ascii="Calibri" w:hAnsi="Calibri" w:eastAsia="Calibri"/>
                <w:b w:val="0"/>
                <w:i w:val="0"/>
                <w:sz w:val="20"/>
              </w:rPr>
              <w:t>154</w:t>
            </w:r>
          </w:p>
        </w:tc>
      </w:tr>
      <w:tr>
        <w:tc>
          <w:tcPr>
            <w:tcW w:type="dxa" w:w="2340"/>
          </w:tcPr>
          <w:p>
            <w:r/>
            <w:r>
              <w:rPr>
                <w:rFonts w:ascii="Calibri" w:hAnsi="Calibri" w:eastAsia="Calibri"/>
                <w:b w:val="0"/>
                <w:i w:val="0"/>
                <w:sz w:val="20"/>
              </w:rPr>
              <w:t>centre</w:t>
            </w:r>
          </w:p>
        </w:tc>
        <w:tc>
          <w:tcPr>
            <w:tcW w:type="dxa" w:w="2340"/>
          </w:tcPr>
          <w:p>
            <w:r/>
            <w:r>
              <w:rPr>
                <w:rFonts w:ascii="Calibri" w:hAnsi="Calibri" w:eastAsia="Calibri"/>
                <w:b w:val="0"/>
                <w:i w:val="0"/>
                <w:sz w:val="20"/>
              </w:rPr>
              <w:t>169</w:t>
            </w:r>
          </w:p>
        </w:tc>
        <w:tc>
          <w:tcPr>
            <w:tcW w:type="dxa" w:w="2340"/>
          </w:tcPr>
          <w:p>
            <w:r/>
            <w:r>
              <w:rPr>
                <w:rFonts w:ascii="Calibri" w:hAnsi="Calibri" w:eastAsia="Calibri"/>
                <w:b w:val="0"/>
                <w:i w:val="0"/>
                <w:sz w:val="20"/>
              </w:rPr>
              <w:t>center</w:t>
            </w:r>
          </w:p>
        </w:tc>
        <w:tc>
          <w:tcPr>
            <w:tcW w:type="dxa" w:w="2340"/>
          </w:tcPr>
          <w:p>
            <w:r/>
            <w:r>
              <w:rPr>
                <w:rFonts w:ascii="Calibri" w:hAnsi="Calibri" w:eastAsia="Calibri"/>
                <w:b w:val="0"/>
                <w:i w:val="0"/>
                <w:sz w:val="20"/>
              </w:rPr>
              <w:t>0</w:t>
            </w:r>
          </w:p>
        </w:tc>
      </w:tr>
    </w:tbl>
    <w:p/>
    <w:p>
      <w:pPr>
        <w:spacing w:after="120" w:line="276" w:lineRule="auto"/>
      </w:pPr>
      <w:r>
        <w:rPr>
          <w:rFonts w:ascii="Calibri" w:hAnsi="Calibri" w:eastAsia="Calibri"/>
          <w:b w:val="0"/>
          <w:i w:val="0"/>
          <w:sz w:val="22"/>
        </w:rPr>
        <w:t>Recommendation: Choose British English as house style (already dominant for organisation/centre) and convert “program” → “programme” where it means a FairBanks programme; keep “program” only for software if desired.</w:t>
      </w:r>
    </w:p>
    <w:p>
      <w:pPr>
        <w:spacing w:before="240" w:after="120"/>
      </w:pPr>
      <w:r>
        <w:rPr>
          <w:rFonts w:ascii="Calibri" w:hAnsi="Calibri" w:eastAsia="Calibri"/>
          <w:b/>
          <w:i w:val="0"/>
          <w:color w:val="1A3A5C"/>
          <w:sz w:val="24"/>
        </w:rPr>
        <w:t>5.6 Edition naming</w:t>
      </w:r>
    </w:p>
    <w:p>
      <w:pPr>
        <w:spacing w:after="120" w:line="276" w:lineRule="auto"/>
      </w:pPr>
      <w:r>
        <w:rPr>
          <w:rFonts w:ascii="Calibri" w:hAnsi="Calibri" w:eastAsia="Calibri"/>
          <w:b w:val="0"/>
          <w:i w:val="0"/>
          <w:sz w:val="22"/>
        </w:rPr>
        <w:t>Severity: Minor</w:t>
      </w:r>
    </w:p>
    <w:p>
      <w:pPr>
        <w:spacing w:after="120" w:line="276" w:lineRule="auto"/>
      </w:pPr>
      <w:r>
        <w:rPr>
          <w:rFonts w:ascii="Calibri" w:hAnsi="Calibri" w:eastAsia="Calibri"/>
          <w:b w:val="0"/>
          <w:i w:val="0"/>
          <w:sz w:val="22"/>
        </w:rPr>
        <w:t>“First Edition” and “Founding Edition” both appear. Align to one product name on the title page, copyright page, and colophon.</w:t>
      </w:r>
    </w:p>
    <w:p>
      <w:pPr>
        <w:spacing w:before="320" w:after="120"/>
      </w:pPr>
      <w:r>
        <w:rPr>
          <w:rFonts w:ascii="Calibri" w:hAnsi="Calibri" w:eastAsia="Calibri"/>
          <w:b/>
          <w:i w:val="0"/>
          <w:color w:val="1A3A5C"/>
          <w:sz w:val="28"/>
        </w:rPr>
        <w:t>6. Transitions and cross-chapter references</w:t>
      </w:r>
    </w:p>
    <w:p>
      <w:pPr>
        <w:spacing w:after="120" w:line="276" w:lineRule="auto"/>
      </w:pPr>
      <w:r>
        <w:rPr>
          <w:rFonts w:ascii="Calibri" w:hAnsi="Calibri" w:eastAsia="Calibri"/>
          <w:b w:val="0"/>
          <w:i w:val="0"/>
          <w:sz w:val="22"/>
        </w:rPr>
        <w:t>Severity: Major</w:t>
      </w:r>
    </w:p>
    <w:p>
      <w:pPr>
        <w:spacing w:after="120" w:line="276" w:lineRule="auto"/>
      </w:pPr>
      <w:r>
        <w:rPr>
          <w:rFonts w:ascii="Calibri" w:hAnsi="Calibri" w:eastAsia="Calibri"/>
          <w:b w:val="0"/>
          <w:i w:val="0"/>
          <w:sz w:val="22"/>
        </w:rPr>
        <w:t>Many chapter endings use graceful transitions, which is good craft. Several now point to the wrong neighbour because numbering drifted:</w:t>
      </w:r>
    </w:p>
    <w:p>
      <w:pPr>
        <w:pStyle w:val="ListBullet"/>
        <w:spacing w:after="60"/>
        <w:ind w:left="360"/>
      </w:pPr>
      <w:r>
        <w:rPr>
          <w:rFonts w:ascii="Calibri" w:hAnsi="Calibri" w:eastAsia="Calibri"/>
          <w:b w:val="0"/>
          <w:i w:val="0"/>
          <w:sz w:val="22"/>
        </w:rPr>
        <w:t>Transitions into “Chapter Five / Six” assume FIHE and F7TM are next — partly true in content, false in heading structure.</w:t>
      </w:r>
    </w:p>
    <w:p>
      <w:pPr>
        <w:pStyle w:val="ListBullet"/>
        <w:spacing w:after="60"/>
        <w:ind w:left="360"/>
      </w:pPr>
      <w:r>
        <w:rPr>
          <w:rFonts w:ascii="Calibri" w:hAnsi="Calibri" w:eastAsia="Calibri"/>
          <w:b w:val="0"/>
          <w:i w:val="0"/>
          <w:sz w:val="22"/>
        </w:rPr>
        <w:t>After the short Chapter 17 draft, text transitions to Chapter 18 — then a second Chapter 17 begins.</w:t>
      </w:r>
    </w:p>
    <w:p>
      <w:pPr>
        <w:pStyle w:val="ListBullet"/>
        <w:spacing w:after="60"/>
        <w:ind w:left="360"/>
      </w:pPr>
      <w:r>
        <w:rPr>
          <w:rFonts w:ascii="Calibri" w:hAnsi="Calibri" w:eastAsia="Calibri"/>
          <w:b w:val="0"/>
          <w:i w:val="0"/>
          <w:sz w:val="22"/>
        </w:rPr>
        <w:t>“How to Read This Blueprint” asks the Board to read Part I, Part III, Part IV, and the Covenant — and skips Part II, which is where the institutional frameworks live. That is likely an oversight; Board readers need Part II most of all.</w:t>
      </w:r>
    </w:p>
    <w:p>
      <w:pPr>
        <w:pStyle w:val="ListBullet"/>
        <w:spacing w:after="60"/>
        <w:ind w:left="360"/>
      </w:pPr>
      <w:r>
        <w:rPr>
          <w:rFonts w:ascii="Calibri" w:hAnsi="Calibri" w:eastAsia="Calibri"/>
          <w:b w:val="0"/>
          <w:i w:val="0"/>
          <w:sz w:val="22"/>
        </w:rPr>
        <w:t>Cross-references mix words and digits (“Chapter Eight” vs “Chapter 16”).</w:t>
      </w:r>
    </w:p>
    <w:p>
      <w:pPr>
        <w:spacing w:after="120" w:line="276" w:lineRule="auto"/>
      </w:pPr>
      <w:r>
        <w:rPr>
          <w:rFonts w:ascii="Calibri" w:hAnsi="Calibri" w:eastAsia="Calibri"/>
          <w:b w:val="0"/>
          <w:i w:val="0"/>
          <w:sz w:val="22"/>
        </w:rPr>
        <w:t>Recommendation: After the chapter map is frozen, run a single pass that checks every “Chapter X” mention and every transition paragraph.</w:t>
      </w:r>
    </w:p>
    <w:p>
      <w:pPr>
        <w:spacing w:before="320" w:after="120"/>
      </w:pPr>
      <w:r>
        <w:rPr>
          <w:rFonts w:ascii="Calibri" w:hAnsi="Calibri" w:eastAsia="Calibri"/>
          <w:b/>
          <w:i w:val="0"/>
          <w:color w:val="1A3A5C"/>
          <w:sz w:val="28"/>
        </w:rPr>
        <w:t>7. Repetition and “AI-like” prose habits</w:t>
      </w:r>
    </w:p>
    <w:p>
      <w:pPr>
        <w:spacing w:after="120" w:line="276" w:lineRule="auto"/>
      </w:pPr>
      <w:r>
        <w:rPr>
          <w:rFonts w:ascii="Calibri" w:hAnsi="Calibri" w:eastAsia="Calibri"/>
          <w:b w:val="0"/>
          <w:i w:val="0"/>
          <w:sz w:val="22"/>
        </w:rPr>
        <w:t>Severity: Major (tone) / Moderate (local repetition)</w:t>
      </w:r>
    </w:p>
    <w:p>
      <w:pPr>
        <w:spacing w:before="240" w:after="120"/>
      </w:pPr>
      <w:r>
        <w:rPr>
          <w:rFonts w:ascii="Calibri" w:hAnsi="Calibri" w:eastAsia="Calibri"/>
          <w:b/>
          <w:i w:val="0"/>
          <w:color w:val="1A3A5C"/>
          <w:sz w:val="24"/>
        </w:rPr>
        <w:t>7.1 Formula openings</w:t>
      </w:r>
    </w:p>
    <w:p>
      <w:pPr>
        <w:spacing w:after="120" w:line="276" w:lineRule="auto"/>
      </w:pPr>
      <w:r>
        <w:rPr>
          <w:rFonts w:ascii="Calibri" w:hAnsi="Calibri" w:eastAsia="Calibri"/>
          <w:b w:val="0"/>
          <w:i w:val="0"/>
          <w:sz w:val="22"/>
        </w:rPr>
        <w:t>Many chapters open with near-identical philosophical frames:</w:t>
      </w:r>
    </w:p>
    <w:p>
      <w:pPr>
        <w:pStyle w:val="ListBullet"/>
        <w:spacing w:after="60"/>
        <w:ind w:left="360"/>
      </w:pPr>
      <w:r>
        <w:rPr>
          <w:rFonts w:ascii="Calibri" w:hAnsi="Calibri" w:eastAsia="Calibri"/>
          <w:b w:val="0"/>
          <w:i w:val="0"/>
          <w:sz w:val="22"/>
        </w:rPr>
        <w:t>“Every institution…” appears about 14 times.</w:t>
      </w:r>
    </w:p>
    <w:p>
      <w:pPr>
        <w:pStyle w:val="ListBullet"/>
        <w:spacing w:after="60"/>
        <w:ind w:left="360"/>
      </w:pPr>
      <w:r>
        <w:rPr>
          <w:rFonts w:ascii="Calibri" w:hAnsi="Calibri" w:eastAsia="Calibri"/>
          <w:b w:val="0"/>
          <w:i w:val="0"/>
          <w:sz w:val="22"/>
        </w:rPr>
        <w:t>“Every enduring…” appears about 8 times.</w:t>
      </w:r>
    </w:p>
    <w:p>
      <w:pPr>
        <w:pStyle w:val="ListBullet"/>
        <w:spacing w:after="60"/>
        <w:ind w:left="360"/>
      </w:pPr>
      <w:r>
        <w:rPr>
          <w:rFonts w:ascii="Calibri" w:hAnsi="Calibri" w:eastAsia="Calibri"/>
          <w:b w:val="0"/>
          <w:i w:val="0"/>
          <w:sz w:val="22"/>
        </w:rPr>
        <w:t>Parallel stacks of “It is…” / “We believe…” / “not merely / not simply / not only” are very frequent (dozens of hits).</w:t>
      </w:r>
    </w:p>
    <w:p>
      <w:pPr>
        <w:spacing w:after="120" w:line="276" w:lineRule="auto"/>
      </w:pPr>
      <w:r>
        <w:rPr>
          <w:rFonts w:ascii="Calibri" w:hAnsi="Calibri" w:eastAsia="Calibri"/>
          <w:b w:val="0"/>
          <w:i w:val="0"/>
          <w:sz w:val="22"/>
        </w:rPr>
        <w:t>This creates dignity on first reading and sameness by Chapter 10. Vary openings: one story beat, one field example, one number, one tension — then the principle.</w:t>
      </w:r>
    </w:p>
    <w:p>
      <w:pPr>
        <w:spacing w:before="240" w:after="120"/>
      </w:pPr>
      <w:r>
        <w:rPr>
          <w:rFonts w:ascii="Calibri" w:hAnsi="Calibri" w:eastAsia="Calibri"/>
          <w:b/>
          <w:i w:val="0"/>
          <w:color w:val="1A3A5C"/>
          <w:sz w:val="24"/>
        </w:rPr>
        <w:t>7.2 Repeated institutional promises</w:t>
      </w:r>
    </w:p>
    <w:p>
      <w:pPr>
        <w:spacing w:after="120" w:line="276" w:lineRule="auto"/>
      </w:pPr>
      <w:r>
        <w:rPr>
          <w:rFonts w:ascii="Calibri" w:hAnsi="Calibri" w:eastAsia="Calibri"/>
          <w:b w:val="0"/>
          <w:i w:val="0"/>
          <w:sz w:val="22"/>
        </w:rPr>
        <w:t>Vision / mission / “Your Health, Our Mission” / “future we choose” / “healthier families, stronger communities” recur across Executive Summary, At a Glance, Commitment, Transitional Declaration, Manifesto, Declaration, and Covenant. Some repetition is intentional in a constitutional close. Still, the middle chapters should advance argument with new evidence rather than restating the slogan stack.</w:t>
      </w:r>
    </w:p>
    <w:p>
      <w:pPr>
        <w:spacing w:before="240" w:after="120"/>
      </w:pPr>
      <w:r>
        <w:rPr>
          <w:rFonts w:ascii="Calibri" w:hAnsi="Calibri" w:eastAsia="Calibri"/>
          <w:b/>
          <w:i w:val="0"/>
          <w:color w:val="1A3A5C"/>
          <w:sz w:val="24"/>
        </w:rPr>
        <w:t>7.3 Box / insight pattern</w:t>
      </w:r>
    </w:p>
    <w:p>
      <w:pPr>
        <w:spacing w:after="120" w:line="276" w:lineRule="auto"/>
      </w:pPr>
      <w:r>
        <w:rPr>
          <w:rFonts w:ascii="Calibri" w:hAnsi="Calibri" w:eastAsia="Calibri"/>
          <w:b w:val="0"/>
          <w:i w:val="0"/>
          <w:sz w:val="22"/>
        </w:rPr>
        <w:t>Leader reflections and editorial insights appear as a regular rhythm. That can work as a design system — but only if labels are cleaned and the boxed lines are shortened. Several boxes restate the preceding paragraph instead of adding a sharper leadership question.</w:t>
      </w:r>
    </w:p>
    <w:p>
      <w:pPr>
        <w:spacing w:before="240" w:after="120"/>
      </w:pPr>
      <w:r>
        <w:rPr>
          <w:rFonts w:ascii="Calibri" w:hAnsi="Calibri" w:eastAsia="Calibri"/>
          <w:b/>
          <w:i w:val="0"/>
          <w:color w:val="1A3A5C"/>
          <w:sz w:val="24"/>
        </w:rPr>
        <w:t>7.4 Duplicated concepts across frameworks</w:t>
      </w:r>
    </w:p>
    <w:p>
      <w:pPr>
        <w:spacing w:after="120" w:line="276" w:lineRule="auto"/>
      </w:pPr>
      <w:r>
        <w:rPr>
          <w:rFonts w:ascii="Calibri" w:hAnsi="Calibri" w:eastAsia="Calibri"/>
          <w:b w:val="0"/>
          <w:i w:val="0"/>
          <w:sz w:val="22"/>
        </w:rPr>
        <w:t>Purpose, stewardship, partnerships, learning, and impact are redefined inside FITF layers, FMM dimensions, F7TM pillars, FCHIP cycle, financing scorecards, and FIMS layers. Readers may feel they are meeting the same idea under new initials. Add one “how the frameworks relate” map early in Part II and refer back to it instead of re-explaining the philosophy each time.</w:t>
      </w:r>
    </w:p>
    <w:p>
      <w:pPr>
        <w:spacing w:before="320" w:after="120"/>
      </w:pPr>
      <w:r>
        <w:rPr>
          <w:rFonts w:ascii="Calibri" w:hAnsi="Calibri" w:eastAsia="Calibri"/>
          <w:b/>
          <w:i w:val="0"/>
          <w:color w:val="1A3A5C"/>
          <w:sz w:val="28"/>
        </w:rPr>
        <w:t>8. Promotional tone and claims that need qualification</w:t>
      </w:r>
    </w:p>
    <w:p>
      <w:pPr>
        <w:spacing w:before="240" w:after="120"/>
      </w:pPr>
      <w:r>
        <w:rPr>
          <w:rFonts w:ascii="Calibri" w:hAnsi="Calibri" w:eastAsia="Calibri"/>
          <w:b/>
          <w:i w:val="0"/>
          <w:color w:val="1A3A5C"/>
          <w:sz w:val="24"/>
        </w:rPr>
        <w:t>8.1 Aspirations written as present achievements</w:t>
      </w:r>
    </w:p>
    <w:p>
      <w:pPr>
        <w:spacing w:after="120" w:line="276" w:lineRule="auto"/>
      </w:pPr>
      <w:r>
        <w:rPr>
          <w:rFonts w:ascii="Calibri" w:hAnsi="Calibri" w:eastAsia="Calibri"/>
          <w:b w:val="0"/>
          <w:i w:val="0"/>
          <w:sz w:val="22"/>
        </w:rPr>
        <w:t>Severity: Major</w:t>
      </w:r>
    </w:p>
    <w:p>
      <w:pPr>
        <w:spacing w:after="120" w:line="276" w:lineRule="auto"/>
      </w:pPr>
      <w:r>
        <w:rPr>
          <w:rFonts w:ascii="Calibri" w:hAnsi="Calibri" w:eastAsia="Calibri"/>
          <w:b w:val="0"/>
          <w:i w:val="0"/>
          <w:sz w:val="22"/>
        </w:rPr>
        <w:t>Examples of language that should be clearly marked as aspiration, design intent, or Phase target:</w:t>
      </w:r>
    </w:p>
    <w:p>
      <w:pPr>
        <w:pStyle w:val="ListBullet"/>
        <w:spacing w:after="60"/>
        <w:ind w:left="360"/>
      </w:pPr>
      <w:r>
        <w:rPr>
          <w:rFonts w:ascii="Calibri" w:hAnsi="Calibri" w:eastAsia="Calibri"/>
          <w:b w:val="0"/>
          <w:i w:val="0"/>
          <w:sz w:val="22"/>
        </w:rPr>
        <w:t>“Uganda’s leading Family &amp; Community Health Social Enterprise” (vision language — good when labelled as vision; risky when stated as recognition already achieved).</w:t>
      </w:r>
    </w:p>
    <w:p>
      <w:pPr>
        <w:pStyle w:val="ListBullet"/>
        <w:spacing w:after="60"/>
        <w:ind w:left="360"/>
      </w:pPr>
      <w:r>
        <w:rPr>
          <w:rFonts w:ascii="Calibri" w:hAnsi="Calibri" w:eastAsia="Calibri"/>
          <w:b w:val="0"/>
          <w:i w:val="0"/>
          <w:sz w:val="22"/>
        </w:rPr>
        <w:t>FCHIP passages that say clinicians “have timely access” to integrated records, or that the platform “transforms FairBanks into an institution that continuously learns,” read as current-state claims. Prefer “is designed to,” “will enable,” or “in Phase II will…”.</w:t>
      </w:r>
    </w:p>
    <w:p>
      <w:pPr>
        <w:pStyle w:val="ListBullet"/>
        <w:spacing w:after="60"/>
        <w:ind w:left="360"/>
      </w:pPr>
      <w:r>
        <w:rPr>
          <w:rFonts w:ascii="Calibri" w:hAnsi="Calibri" w:eastAsia="Calibri"/>
          <w:b w:val="0"/>
          <w:i w:val="0"/>
          <w:sz w:val="22"/>
        </w:rPr>
        <w:t>“Six original institutional frameworks” is fine if authorship is FairBanks’; still avoid sounding like peer-reviewed novelty without saying what “original” means.</w:t>
      </w:r>
    </w:p>
    <w:p>
      <w:pPr>
        <w:spacing w:before="240" w:after="120"/>
      </w:pPr>
      <w:r>
        <w:rPr>
          <w:rFonts w:ascii="Calibri" w:hAnsi="Calibri" w:eastAsia="Calibri"/>
          <w:b/>
          <w:i w:val="0"/>
          <w:color w:val="1A3A5C"/>
          <w:sz w:val="24"/>
        </w:rPr>
        <w:t>8.2 Promotional density in front matter</w:t>
      </w:r>
    </w:p>
    <w:p>
      <w:pPr>
        <w:spacing w:after="120" w:line="276" w:lineRule="auto"/>
      </w:pPr>
      <w:r>
        <w:rPr>
          <w:rFonts w:ascii="Calibri" w:hAnsi="Calibri" w:eastAsia="Calibri"/>
          <w:b w:val="0"/>
          <w:i w:val="0"/>
          <w:sz w:val="22"/>
        </w:rPr>
        <w:t>Severity: Moderate</w:t>
      </w:r>
    </w:p>
    <w:p>
      <w:pPr>
        <w:spacing w:after="120" w:line="276" w:lineRule="auto"/>
      </w:pPr>
      <w:r>
        <w:rPr>
          <w:rFonts w:ascii="Calibri" w:hAnsi="Calibri" w:eastAsia="Calibri"/>
          <w:b w:val="0"/>
          <w:i w:val="0"/>
          <w:sz w:val="22"/>
        </w:rPr>
        <w:t>Founder’s Note, Executive Summary, and At a Glance already carry the full emotional and visionary load. That is appropriate for a founding edition — but later technical chapters should sound more operational (who does what by when, with which indicator). Right now, Chapters 12–17 still lean heavily on uplift language.</w:t>
      </w:r>
    </w:p>
    <w:p>
      <w:pPr>
        <w:spacing w:before="240" w:after="120"/>
      </w:pPr>
      <w:r>
        <w:rPr>
          <w:rFonts w:ascii="Calibri" w:hAnsi="Calibri" w:eastAsia="Calibri"/>
          <w:b/>
          <w:i w:val="0"/>
          <w:color w:val="1A3A5C"/>
          <w:sz w:val="24"/>
        </w:rPr>
        <w:t>8.3 Where the argument needs stronger evidence</w:t>
      </w:r>
    </w:p>
    <w:p>
      <w:pPr>
        <w:spacing w:after="120" w:line="276" w:lineRule="auto"/>
      </w:pPr>
      <w:r>
        <w:rPr>
          <w:rFonts w:ascii="Calibri" w:hAnsi="Calibri" w:eastAsia="Calibri"/>
          <w:b w:val="0"/>
          <w:i w:val="0"/>
          <w:sz w:val="22"/>
        </w:rPr>
        <w:t>Severity: Major</w:t>
      </w:r>
    </w:p>
    <w:p>
      <w:pPr>
        <w:pStyle w:val="ListBullet"/>
        <w:spacing w:after="60"/>
        <w:ind w:left="360"/>
      </w:pPr>
      <w:r>
        <w:rPr>
          <w:rFonts w:ascii="Calibri" w:hAnsi="Calibri" w:eastAsia="Calibri"/>
          <w:b w:val="0"/>
          <w:i w:val="0"/>
          <w:sz w:val="22"/>
        </w:rPr>
        <w:t>Healthcare landscape chapter makes broad statements about Uganda’s system with little cited data (no UBOS, WHO statistical anchors, MoH HMIS figures, or facility baseline metrics in the extract).</w:t>
      </w:r>
    </w:p>
    <w:p>
      <w:pPr>
        <w:pStyle w:val="ListBullet"/>
        <w:spacing w:after="60"/>
        <w:ind w:left="360"/>
      </w:pPr>
      <w:r>
        <w:rPr>
          <w:rFonts w:ascii="Calibri" w:hAnsi="Calibri" w:eastAsia="Calibri"/>
          <w:b w:val="0"/>
          <w:i w:val="0"/>
          <w:sz w:val="22"/>
        </w:rPr>
        <w:t>SWOT is promised in the List of Tables but not present — a SWOT or evidence table would strengthen Chapter Three.</w:t>
      </w:r>
    </w:p>
    <w:p>
      <w:pPr>
        <w:pStyle w:val="ListBullet"/>
        <w:spacing w:after="60"/>
        <w:ind w:left="360"/>
      </w:pPr>
      <w:r>
        <w:rPr>
          <w:rFonts w:ascii="Calibri" w:hAnsi="Calibri" w:eastAsia="Calibri"/>
          <w:b w:val="0"/>
          <w:i w:val="0"/>
          <w:sz w:val="22"/>
        </w:rPr>
        <w:t>Roadmap phases (2027–2032) need measurable targets, owners, and dependencies; several sections remain principle-heavy.</w:t>
      </w:r>
    </w:p>
    <w:p>
      <w:pPr>
        <w:pStyle w:val="ListBullet"/>
        <w:spacing w:after="60"/>
        <w:ind w:left="360"/>
      </w:pPr>
      <w:r>
        <w:rPr>
          <w:rFonts w:ascii="Calibri" w:hAnsi="Calibri" w:eastAsia="Calibri"/>
          <w:b w:val="0"/>
          <w:i w:val="0"/>
          <w:sz w:val="22"/>
        </w:rPr>
        <w:t>CHIP sections describe an attractive model (membership, pooling, benefits) but need clearer status: concept, pilot design, or operating scheme?</w:t>
      </w:r>
    </w:p>
    <w:p>
      <w:pPr>
        <w:pStyle w:val="ListBullet"/>
        <w:spacing w:after="60"/>
        <w:ind w:left="360"/>
      </w:pPr>
      <w:r>
        <w:rPr>
          <w:rFonts w:ascii="Calibri" w:hAnsi="Calibri" w:eastAsia="Calibri"/>
          <w:b w:val="0"/>
          <w:i w:val="0"/>
          <w:sz w:val="22"/>
        </w:rPr>
        <w:t>FCHIP AI use-cases are plausible and responsibly caveated on ethics — good — but still need MVP scope, data sources, and what is not yet built.</w:t>
      </w:r>
    </w:p>
    <w:p>
      <w:pPr>
        <w:pStyle w:val="ListBullet"/>
        <w:spacing w:after="60"/>
        <w:ind w:left="360"/>
      </w:pPr>
      <w:r>
        <w:rPr>
          <w:rFonts w:ascii="Calibri" w:hAnsi="Calibri" w:eastAsia="Calibri"/>
          <w:b w:val="0"/>
          <w:i w:val="0"/>
          <w:sz w:val="22"/>
        </w:rPr>
        <w:t>Local catchment proof (named communities, CHW/VHT numbers, referral volumes, service stats) is thin relative to the institutional claim. Kyebando appears; wider catchment storytelling is limited.</w:t>
      </w:r>
    </w:p>
    <w:p>
      <w:pPr>
        <w:spacing w:before="320" w:after="120"/>
      </w:pPr>
      <w:r>
        <w:rPr>
          <w:rFonts w:ascii="Calibri" w:hAnsi="Calibri" w:eastAsia="Calibri"/>
          <w:b/>
          <w:i w:val="0"/>
          <w:color w:val="1A3A5C"/>
          <w:sz w:val="28"/>
        </w:rPr>
        <w:t>9. Contradictions and internal tensions</w:t>
      </w:r>
    </w:p>
    <w:p>
      <w:pPr>
        <w:spacing w:after="120" w:line="276" w:lineRule="auto"/>
      </w:pPr>
      <w:r>
        <w:rPr>
          <w:rFonts w:ascii="Calibri" w:hAnsi="Calibri" w:eastAsia="Calibri"/>
          <w:b w:val="0"/>
          <w:i w:val="0"/>
          <w:sz w:val="22"/>
        </w:rPr>
        <w:t>Severity: Major</w:t>
      </w:r>
    </w:p>
    <w:tbl>
      <w:tblPr>
        <w:tblStyle w:val="TableGrid"/>
        <w:tblW w:type="auto" w:w="0"/>
        <w:jc w:val="left"/>
        <w:tblLook w:firstColumn="1" w:firstRow="1" w:lastColumn="0" w:lastRow="0" w:noHBand="0" w:noVBand="1" w:val="04A0"/>
      </w:tblPr>
      <w:tblGrid>
        <w:gridCol w:w="4680"/>
        <w:gridCol w:w="4680"/>
      </w:tblGrid>
      <w:tr>
        <w:tc>
          <w:tcPr>
            <w:tcW w:type="dxa" w:w="4680"/>
            <w:shd w:fill="1A3A5C" w:val="clear"/>
          </w:tcPr>
          <w:p>
            <w:r/>
            <w:r>
              <w:rPr>
                <w:rFonts w:ascii="Calibri" w:hAnsi="Calibri" w:eastAsia="Calibri"/>
                <w:b/>
                <w:i w:val="0"/>
                <w:color w:val="FFFFFF"/>
                <w:sz w:val="20"/>
              </w:rPr>
              <w:t>Tension</w:t>
            </w:r>
          </w:p>
        </w:tc>
        <w:tc>
          <w:tcPr>
            <w:tcW w:type="dxa" w:w="4680"/>
            <w:shd w:fill="1A3A5C" w:val="clear"/>
          </w:tcPr>
          <w:p>
            <w:r/>
            <w:r>
              <w:rPr>
                <w:rFonts w:ascii="Calibri" w:hAnsi="Calibri" w:eastAsia="Calibri"/>
                <w:b/>
                <w:i w:val="0"/>
                <w:color w:val="FFFFFF"/>
                <w:sz w:val="20"/>
              </w:rPr>
              <w:t>Why it matters</w:t>
            </w:r>
          </w:p>
        </w:tc>
      </w:tr>
      <w:tr>
        <w:tc>
          <w:tcPr>
            <w:tcW w:type="dxa" w:w="4680"/>
          </w:tcPr>
          <w:p>
            <w:r/>
            <w:r>
              <w:rPr>
                <w:rFonts w:ascii="Calibri" w:hAnsi="Calibri" w:eastAsia="Calibri"/>
                <w:b w:val="0"/>
                <w:i w:val="0"/>
                <w:sz w:val="20"/>
              </w:rPr>
              <w:t>TOC 23 chapters vs body ~21 with duplicates</w:t>
            </w:r>
          </w:p>
        </w:tc>
        <w:tc>
          <w:tcPr>
            <w:tcW w:type="dxa" w:w="4680"/>
          </w:tcPr>
          <w:p>
            <w:r/>
            <w:r>
              <w:rPr>
                <w:rFonts w:ascii="Calibri" w:hAnsi="Calibri" w:eastAsia="Calibri"/>
                <w:b w:val="0"/>
                <w:i w:val="0"/>
                <w:sz w:val="20"/>
              </w:rPr>
              <w:t>Readers cannot trust navigation</w:t>
            </w:r>
          </w:p>
        </w:tc>
      </w:tr>
      <w:tr>
        <w:tc>
          <w:tcPr>
            <w:tcW w:type="dxa" w:w="4680"/>
          </w:tcPr>
          <w:p>
            <w:r/>
            <w:r>
              <w:rPr>
                <w:rFonts w:ascii="Calibri" w:hAnsi="Calibri" w:eastAsia="Calibri"/>
                <w:b w:val="0"/>
                <w:i w:val="0"/>
                <w:sz w:val="20"/>
              </w:rPr>
              <w:t>Part II title Model vs Architecture</w:t>
            </w:r>
          </w:p>
        </w:tc>
        <w:tc>
          <w:tcPr>
            <w:tcW w:type="dxa" w:w="4680"/>
          </w:tcPr>
          <w:p>
            <w:r/>
            <w:r>
              <w:rPr>
                <w:rFonts w:ascii="Calibri" w:hAnsi="Calibri" w:eastAsia="Calibri"/>
                <w:b w:val="0"/>
                <w:i w:val="0"/>
                <w:sz w:val="20"/>
              </w:rPr>
              <w:t>Signals unfinished rename</w:t>
            </w:r>
          </w:p>
        </w:tc>
      </w:tr>
      <w:tr>
        <w:tc>
          <w:tcPr>
            <w:tcW w:type="dxa" w:w="4680"/>
          </w:tcPr>
          <w:p>
            <w:r/>
            <w:r>
              <w:rPr>
                <w:rFonts w:ascii="Calibri" w:hAnsi="Calibri" w:eastAsia="Calibri"/>
                <w:b w:val="0"/>
                <w:i w:val="0"/>
                <w:sz w:val="20"/>
              </w:rPr>
              <w:t>Six frameworks vs FIMS + many scorecards</w:t>
            </w:r>
          </w:p>
        </w:tc>
        <w:tc>
          <w:tcPr>
            <w:tcW w:type="dxa" w:w="4680"/>
          </w:tcPr>
          <w:p>
            <w:r/>
            <w:r>
              <w:rPr>
                <w:rFonts w:ascii="Calibri" w:hAnsi="Calibri" w:eastAsia="Calibri"/>
                <w:b w:val="0"/>
                <w:i w:val="0"/>
                <w:sz w:val="20"/>
              </w:rPr>
              <w:t>Unclear which architecture is canonical</w:t>
            </w:r>
          </w:p>
        </w:tc>
      </w:tr>
      <w:tr>
        <w:tc>
          <w:tcPr>
            <w:tcW w:type="dxa" w:w="4680"/>
          </w:tcPr>
          <w:p>
            <w:r/>
            <w:r>
              <w:rPr>
                <w:rFonts w:ascii="Calibri" w:hAnsi="Calibri" w:eastAsia="Calibri"/>
                <w:b w:val="0"/>
                <w:i w:val="0"/>
                <w:sz w:val="20"/>
              </w:rPr>
              <w:t>List of Figures/Tables vs missing artefacts</w:t>
            </w:r>
          </w:p>
        </w:tc>
        <w:tc>
          <w:tcPr>
            <w:tcW w:type="dxa" w:w="4680"/>
          </w:tcPr>
          <w:p>
            <w:r/>
            <w:r>
              <w:rPr>
                <w:rFonts w:ascii="Calibri" w:hAnsi="Calibri" w:eastAsia="Calibri"/>
                <w:b w:val="0"/>
                <w:i w:val="0"/>
                <w:sz w:val="20"/>
              </w:rPr>
              <w:t>Looks unfinished or over-claimed</w:t>
            </w:r>
          </w:p>
        </w:tc>
      </w:tr>
      <w:tr>
        <w:tc>
          <w:tcPr>
            <w:tcW w:type="dxa" w:w="4680"/>
          </w:tcPr>
          <w:p>
            <w:r/>
            <w:r>
              <w:rPr>
                <w:rFonts w:ascii="Calibri" w:hAnsi="Calibri" w:eastAsia="Calibri"/>
                <w:b w:val="0"/>
                <w:i w:val="0"/>
                <w:sz w:val="20"/>
              </w:rPr>
              <w:t>Appendices promised vs absent</w:t>
            </w:r>
          </w:p>
        </w:tc>
        <w:tc>
          <w:tcPr>
            <w:tcW w:type="dxa" w:w="4680"/>
          </w:tcPr>
          <w:p>
            <w:r/>
            <w:r>
              <w:rPr>
                <w:rFonts w:ascii="Calibri" w:hAnsi="Calibri" w:eastAsia="Calibri"/>
                <w:b w:val="0"/>
                <w:i w:val="0"/>
                <w:sz w:val="20"/>
              </w:rPr>
              <w:t>Back matter cannot support “constitution” claims</w:t>
            </w:r>
          </w:p>
        </w:tc>
      </w:tr>
      <w:tr>
        <w:tc>
          <w:tcPr>
            <w:tcW w:type="dxa" w:w="4680"/>
          </w:tcPr>
          <w:p>
            <w:r/>
            <w:r>
              <w:rPr>
                <w:rFonts w:ascii="Calibri" w:hAnsi="Calibri" w:eastAsia="Calibri"/>
                <w:b w:val="0"/>
                <w:i w:val="0"/>
                <w:sz w:val="20"/>
              </w:rPr>
              <w:t>Board reading guide skips Part II</w:t>
            </w:r>
          </w:p>
        </w:tc>
        <w:tc>
          <w:tcPr>
            <w:tcW w:type="dxa" w:w="4680"/>
          </w:tcPr>
          <w:p>
            <w:r/>
            <w:r>
              <w:rPr>
                <w:rFonts w:ascii="Calibri" w:hAnsi="Calibri" w:eastAsia="Calibri"/>
                <w:b w:val="0"/>
                <w:i w:val="0"/>
                <w:sz w:val="20"/>
              </w:rPr>
              <w:t>Contradicts the idea that frameworks are central</w:t>
            </w:r>
          </w:p>
        </w:tc>
      </w:tr>
      <w:tr>
        <w:tc>
          <w:tcPr>
            <w:tcW w:type="dxa" w:w="4680"/>
          </w:tcPr>
          <w:p>
            <w:r/>
            <w:r>
              <w:rPr>
                <w:rFonts w:ascii="Calibri" w:hAnsi="Calibri" w:eastAsia="Calibri"/>
                <w:b w:val="0"/>
                <w:i w:val="0"/>
                <w:sz w:val="20"/>
              </w:rPr>
              <w:t>Copyright / citation year 2027 vs draft dated 2026 editorial stage</w:t>
            </w:r>
          </w:p>
        </w:tc>
        <w:tc>
          <w:tcPr>
            <w:tcW w:type="dxa" w:w="4680"/>
          </w:tcPr>
          <w:p>
            <w:r/>
            <w:r>
              <w:rPr>
                <w:rFonts w:ascii="Calibri" w:hAnsi="Calibri" w:eastAsia="Calibri"/>
                <w:b w:val="0"/>
                <w:i w:val="0"/>
                <w:sz w:val="20"/>
              </w:rPr>
              <w:t>Confirm intentional founding year vs update</w:t>
            </w:r>
          </w:p>
        </w:tc>
      </w:tr>
      <w:tr>
        <w:tc>
          <w:tcPr>
            <w:tcW w:type="dxa" w:w="4680"/>
          </w:tcPr>
          <w:p>
            <w:r/>
            <w:r>
              <w:rPr>
                <w:rFonts w:ascii="Calibri" w:hAnsi="Calibri" w:eastAsia="Calibri"/>
                <w:b w:val="0"/>
                <w:i w:val="0"/>
                <w:sz w:val="20"/>
              </w:rPr>
              <w:t>Short Ch 17 vs long Ch 17</w:t>
            </w:r>
          </w:p>
        </w:tc>
        <w:tc>
          <w:tcPr>
            <w:tcW w:type="dxa" w:w="4680"/>
          </w:tcPr>
          <w:p>
            <w:r/>
            <w:r>
              <w:rPr>
                <w:rFonts w:ascii="Calibri" w:hAnsi="Calibri" w:eastAsia="Calibri"/>
                <w:b w:val="0"/>
                <w:i w:val="0"/>
                <w:sz w:val="20"/>
              </w:rPr>
              <w:t>Two strategies for the same slot</w:t>
            </w:r>
          </w:p>
        </w:tc>
      </w:tr>
    </w:tbl>
    <w:p/>
    <w:p>
      <w:pPr>
        <w:spacing w:before="320" w:after="120"/>
      </w:pPr>
      <w:r>
        <w:rPr>
          <w:rFonts w:ascii="Calibri" w:hAnsi="Calibri" w:eastAsia="Calibri"/>
          <w:b/>
          <w:i w:val="0"/>
          <w:color w:val="1A3A5C"/>
          <w:sz w:val="28"/>
        </w:rPr>
        <w:t>10. Alignment note with FairBanks Community Reach narrative (optional)</w:t>
      </w:r>
    </w:p>
    <w:p>
      <w:pPr>
        <w:spacing w:after="120" w:line="276" w:lineRule="auto"/>
      </w:pPr>
      <w:r>
        <w:rPr>
          <w:rFonts w:ascii="Calibri" w:hAnsi="Calibri" w:eastAsia="Calibri"/>
          <w:b w:val="0"/>
          <w:i w:val="0"/>
          <w:sz w:val="22"/>
        </w:rPr>
        <w:t>Severity: Moderate (only if this Blueprint must stay aligned with FairBanks Community Reach / FCHIP funding narrative)</w:t>
      </w:r>
    </w:p>
    <w:p>
      <w:pPr>
        <w:spacing w:after="120" w:line="276" w:lineRule="auto"/>
      </w:pPr>
      <w:r>
        <w:rPr>
          <w:rFonts w:ascii="Calibri" w:hAnsi="Calibri" w:eastAsia="Calibri"/>
          <w:b w:val="0"/>
          <w:i w:val="0"/>
          <w:sz w:val="22"/>
        </w:rPr>
        <w:t>The Blueprint currently centres “Family &amp; Community Health Social Enterprise,” FIHE, and CHIP. The organisation’s refined Community Reach cascade (communities → CHWs/VHTs → programmes → medical centre → research → empowerment / CHIS; Data &amp; Feedback via FCHIP; GIS + climate fusion) is largely absent by name. That is not automatically an error — Volume I may be intentionally institution-first — but editorial should decide:</w:t>
      </w:r>
    </w:p>
    <w:p>
      <w:pPr>
        <w:pStyle w:val="ListBullet"/>
        <w:spacing w:after="60"/>
        <w:ind w:left="360"/>
      </w:pPr>
      <w:r>
        <w:rPr>
          <w:rFonts w:ascii="Calibri" w:hAnsi="Calibri" w:eastAsia="Calibri"/>
          <w:b w:val="0"/>
          <w:i w:val="0"/>
          <w:sz w:val="22"/>
        </w:rPr>
        <w:t>Keep Volume I institution/architecture focused, and place Community Reach cascade in Volume II / programme manuals; or</w:t>
      </w:r>
    </w:p>
    <w:p>
      <w:pPr>
        <w:pStyle w:val="ListBullet"/>
        <w:spacing w:after="60"/>
        <w:ind w:left="360"/>
      </w:pPr>
      <w:r>
        <w:rPr>
          <w:rFonts w:ascii="Calibri" w:hAnsi="Calibri" w:eastAsia="Calibri"/>
          <w:b w:val="0"/>
          <w:i w:val="0"/>
          <w:sz w:val="22"/>
        </w:rPr>
        <w:t>Add one clear section mapping FIHE / FCHIP / CHIP to the Community Reach cascade so partner materials do not diverge.</w:t>
      </w:r>
    </w:p>
    <w:p>
      <w:pPr>
        <w:spacing w:before="320" w:after="120"/>
      </w:pPr>
      <w:r>
        <w:rPr>
          <w:rFonts w:ascii="Calibri" w:hAnsi="Calibri" w:eastAsia="Calibri"/>
          <w:b/>
          <w:i w:val="0"/>
          <w:color w:val="1A3A5C"/>
          <w:sz w:val="28"/>
        </w:rPr>
        <w:t>11. Suggested editorial workplan</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A3A5C" w:val="clear"/>
          </w:tcPr>
          <w:p>
            <w:r/>
            <w:r>
              <w:rPr>
                <w:rFonts w:ascii="Calibri" w:hAnsi="Calibri" w:eastAsia="Calibri"/>
                <w:b/>
                <w:i w:val="0"/>
                <w:color w:val="FFFFFF"/>
                <w:sz w:val="20"/>
              </w:rPr>
              <w:t>Step</w:t>
            </w:r>
          </w:p>
        </w:tc>
        <w:tc>
          <w:tcPr>
            <w:tcW w:type="dxa" w:w="3120"/>
            <w:shd w:fill="1A3A5C" w:val="clear"/>
          </w:tcPr>
          <w:p>
            <w:r/>
            <w:r>
              <w:rPr>
                <w:rFonts w:ascii="Calibri" w:hAnsi="Calibri" w:eastAsia="Calibri"/>
                <w:b/>
                <w:i w:val="0"/>
                <w:color w:val="FFFFFF"/>
                <w:sz w:val="20"/>
              </w:rPr>
              <w:t>Action</w:t>
            </w:r>
          </w:p>
        </w:tc>
        <w:tc>
          <w:tcPr>
            <w:tcW w:type="dxa" w:w="3120"/>
            <w:shd w:fill="1A3A5C" w:val="clear"/>
          </w:tcPr>
          <w:p>
            <w:r/>
            <w:r>
              <w:rPr>
                <w:rFonts w:ascii="Calibri" w:hAnsi="Calibri" w:eastAsia="Calibri"/>
                <w:b/>
                <w:i w:val="0"/>
                <w:color w:val="FFFFFF"/>
                <w:sz w:val="20"/>
              </w:rPr>
              <w:t>Outcome</w:t>
            </w:r>
          </w:p>
        </w:tc>
      </w:tr>
      <w:tr>
        <w:tc>
          <w:tcPr>
            <w:tcW w:type="dxa" w:w="3120"/>
          </w:tcPr>
          <w:p>
            <w:r/>
            <w:r>
              <w:rPr>
                <w:rFonts w:ascii="Calibri" w:hAnsi="Calibri" w:eastAsia="Calibri"/>
                <w:b w:val="0"/>
                <w:i w:val="0"/>
                <w:sz w:val="20"/>
              </w:rPr>
              <w:t>1</w:t>
            </w:r>
          </w:p>
        </w:tc>
        <w:tc>
          <w:tcPr>
            <w:tcW w:type="dxa" w:w="3120"/>
          </w:tcPr>
          <w:p>
            <w:r/>
            <w:r>
              <w:rPr>
                <w:rFonts w:ascii="Calibri" w:hAnsi="Calibri" w:eastAsia="Calibri"/>
                <w:b w:val="0"/>
                <w:i w:val="0"/>
                <w:sz w:val="20"/>
              </w:rPr>
              <w:t>Freeze the chapter map (title + number + part)</w:t>
            </w:r>
          </w:p>
        </w:tc>
        <w:tc>
          <w:tcPr>
            <w:tcW w:type="dxa" w:w="3120"/>
          </w:tcPr>
          <w:p>
            <w:r/>
            <w:r>
              <w:rPr>
                <w:rFonts w:ascii="Calibri" w:hAnsi="Calibri" w:eastAsia="Calibri"/>
                <w:b w:val="0"/>
                <w:i w:val="0"/>
                <w:sz w:val="20"/>
              </w:rPr>
              <w:t>One authoritative outline</w:t>
            </w:r>
          </w:p>
        </w:tc>
      </w:tr>
      <w:tr>
        <w:tc>
          <w:tcPr>
            <w:tcW w:type="dxa" w:w="3120"/>
          </w:tcPr>
          <w:p>
            <w:r/>
            <w:r>
              <w:rPr>
                <w:rFonts w:ascii="Calibri" w:hAnsi="Calibri" w:eastAsia="Calibri"/>
                <w:b w:val="0"/>
                <w:i w:val="0"/>
                <w:sz w:val="20"/>
              </w:rPr>
              <w:t>2</w:t>
            </w:r>
          </w:p>
        </w:tc>
        <w:tc>
          <w:tcPr>
            <w:tcW w:type="dxa" w:w="3120"/>
          </w:tcPr>
          <w:p>
            <w:r/>
            <w:r>
              <w:rPr>
                <w:rFonts w:ascii="Calibri" w:hAnsi="Calibri" w:eastAsia="Calibri"/>
                <w:b w:val="0"/>
                <w:i w:val="0"/>
                <w:sz w:val="20"/>
              </w:rPr>
              <w:t>Delete duplicate Ch 17 (merge) and duplicate Ch 21</w:t>
            </w:r>
          </w:p>
        </w:tc>
        <w:tc>
          <w:tcPr>
            <w:tcW w:type="dxa" w:w="3120"/>
          </w:tcPr>
          <w:p>
            <w:r/>
            <w:r>
              <w:rPr>
                <w:rFonts w:ascii="Calibri" w:hAnsi="Calibri" w:eastAsia="Calibri"/>
                <w:b w:val="0"/>
                <w:i w:val="0"/>
                <w:sz w:val="20"/>
              </w:rPr>
              <w:t>Single ending arc</w:t>
            </w:r>
          </w:p>
        </w:tc>
      </w:tr>
      <w:tr>
        <w:tc>
          <w:tcPr>
            <w:tcW w:type="dxa" w:w="3120"/>
          </w:tcPr>
          <w:p>
            <w:r/>
            <w:r>
              <w:rPr>
                <w:rFonts w:ascii="Calibri" w:hAnsi="Calibri" w:eastAsia="Calibri"/>
                <w:b w:val="0"/>
                <w:i w:val="0"/>
                <w:sz w:val="20"/>
              </w:rPr>
              <w:t>3</w:t>
            </w:r>
          </w:p>
        </w:tc>
        <w:tc>
          <w:tcPr>
            <w:tcW w:type="dxa" w:w="3120"/>
          </w:tcPr>
          <w:p>
            <w:r/>
            <w:r>
              <w:rPr>
                <w:rFonts w:ascii="Calibri" w:hAnsi="Calibri" w:eastAsia="Calibri"/>
                <w:b w:val="0"/>
                <w:i w:val="0"/>
                <w:sz w:val="20"/>
              </w:rPr>
              <w:t>Restore or formally merge Chapter Five; repair Chapter Nine title/9.1–9.4</w:t>
            </w:r>
          </w:p>
        </w:tc>
        <w:tc>
          <w:tcPr>
            <w:tcW w:type="dxa" w:w="3120"/>
          </w:tcPr>
          <w:p>
            <w:r/>
            <w:r>
              <w:rPr>
                <w:rFonts w:ascii="Calibri" w:hAnsi="Calibri" w:eastAsia="Calibri"/>
                <w:b w:val="0"/>
                <w:i w:val="0"/>
                <w:sz w:val="20"/>
              </w:rPr>
              <w:t>Part II readable</w:t>
            </w:r>
          </w:p>
        </w:tc>
      </w:tr>
      <w:tr>
        <w:tc>
          <w:tcPr>
            <w:tcW w:type="dxa" w:w="3120"/>
          </w:tcPr>
          <w:p>
            <w:r/>
            <w:r>
              <w:rPr>
                <w:rFonts w:ascii="Calibri" w:hAnsi="Calibri" w:eastAsia="Calibri"/>
                <w:b w:val="0"/>
                <w:i w:val="0"/>
                <w:sz w:val="20"/>
              </w:rPr>
              <w:t>4</w:t>
            </w:r>
          </w:p>
        </w:tc>
        <w:tc>
          <w:tcPr>
            <w:tcW w:type="dxa" w:w="3120"/>
          </w:tcPr>
          <w:p>
            <w:r/>
            <w:r>
              <w:rPr>
                <w:rFonts w:ascii="Calibri" w:hAnsi="Calibri" w:eastAsia="Calibri"/>
                <w:b w:val="0"/>
                <w:i w:val="0"/>
                <w:sz w:val="20"/>
              </w:rPr>
              <w:t>Remove scaffold labels and the leftover editorial comment</w:t>
            </w:r>
          </w:p>
        </w:tc>
        <w:tc>
          <w:tcPr>
            <w:tcW w:type="dxa" w:w="3120"/>
          </w:tcPr>
          <w:p>
            <w:r/>
            <w:r>
              <w:rPr>
                <w:rFonts w:ascii="Calibri" w:hAnsi="Calibri" w:eastAsia="Calibri"/>
                <w:b w:val="0"/>
                <w:i w:val="0"/>
                <w:sz w:val="20"/>
              </w:rPr>
              <w:t>Clean reader text</w:t>
            </w:r>
          </w:p>
        </w:tc>
      </w:tr>
      <w:tr>
        <w:tc>
          <w:tcPr>
            <w:tcW w:type="dxa" w:w="3120"/>
          </w:tcPr>
          <w:p>
            <w:r/>
            <w:r>
              <w:rPr>
                <w:rFonts w:ascii="Calibri" w:hAnsi="Calibri" w:eastAsia="Calibri"/>
                <w:b w:val="0"/>
                <w:i w:val="0"/>
                <w:sz w:val="20"/>
              </w:rPr>
              <w:t>5</w:t>
            </w:r>
          </w:p>
        </w:tc>
        <w:tc>
          <w:tcPr>
            <w:tcW w:type="dxa" w:w="3120"/>
          </w:tcPr>
          <w:p>
            <w:r/>
            <w:r>
              <w:rPr>
                <w:rFonts w:ascii="Calibri" w:hAnsi="Calibri" w:eastAsia="Calibri"/>
                <w:b w:val="0"/>
                <w:i w:val="0"/>
                <w:sz w:val="20"/>
              </w:rPr>
              <w:t>Rebuild List of Figures/Tables to match real captions only</w:t>
            </w:r>
          </w:p>
        </w:tc>
        <w:tc>
          <w:tcPr>
            <w:tcW w:type="dxa" w:w="3120"/>
          </w:tcPr>
          <w:p>
            <w:r/>
            <w:r>
              <w:rPr>
                <w:rFonts w:ascii="Calibri" w:hAnsi="Calibri" w:eastAsia="Calibri"/>
                <w:b w:val="0"/>
                <w:i w:val="0"/>
                <w:sz w:val="20"/>
              </w:rPr>
              <w:t>Honest navigation</w:t>
            </w:r>
          </w:p>
        </w:tc>
      </w:tr>
      <w:tr>
        <w:tc>
          <w:tcPr>
            <w:tcW w:type="dxa" w:w="3120"/>
          </w:tcPr>
          <w:p>
            <w:r/>
            <w:r>
              <w:rPr>
                <w:rFonts w:ascii="Calibri" w:hAnsi="Calibri" w:eastAsia="Calibri"/>
                <w:b w:val="0"/>
                <w:i w:val="0"/>
                <w:sz w:val="20"/>
              </w:rPr>
              <w:t>6</w:t>
            </w:r>
          </w:p>
        </w:tc>
        <w:tc>
          <w:tcPr>
            <w:tcW w:type="dxa" w:w="3120"/>
          </w:tcPr>
          <w:p>
            <w:r/>
            <w:r>
              <w:rPr>
                <w:rFonts w:ascii="Calibri" w:hAnsi="Calibri" w:eastAsia="Calibri"/>
                <w:b w:val="0"/>
                <w:i w:val="0"/>
                <w:sz w:val="20"/>
              </w:rPr>
              <w:t>Decide appendices: build A–O or defer and de-list</w:t>
            </w:r>
          </w:p>
        </w:tc>
        <w:tc>
          <w:tcPr>
            <w:tcW w:type="dxa" w:w="3120"/>
          </w:tcPr>
          <w:p>
            <w:r/>
            <w:r>
              <w:rPr>
                <w:rFonts w:ascii="Calibri" w:hAnsi="Calibri" w:eastAsia="Calibri"/>
                <w:b w:val="0"/>
                <w:i w:val="0"/>
                <w:sz w:val="20"/>
              </w:rPr>
              <w:t>Back matter integrity</w:t>
            </w:r>
          </w:p>
        </w:tc>
      </w:tr>
      <w:tr>
        <w:tc>
          <w:tcPr>
            <w:tcW w:type="dxa" w:w="3120"/>
          </w:tcPr>
          <w:p>
            <w:r/>
            <w:r>
              <w:rPr>
                <w:rFonts w:ascii="Calibri" w:hAnsi="Calibri" w:eastAsia="Calibri"/>
                <w:b w:val="0"/>
                <w:i w:val="0"/>
                <w:sz w:val="20"/>
              </w:rPr>
              <w:t>7</w:t>
            </w:r>
          </w:p>
        </w:tc>
        <w:tc>
          <w:tcPr>
            <w:tcW w:type="dxa" w:w="3120"/>
          </w:tcPr>
          <w:p>
            <w:r/>
            <w:r>
              <w:rPr>
                <w:rFonts w:ascii="Calibri" w:hAnsi="Calibri" w:eastAsia="Calibri"/>
                <w:b w:val="0"/>
                <w:i w:val="0"/>
                <w:sz w:val="20"/>
              </w:rPr>
              <w:t>Write glossary definitions; sync acronyms to all frameworks</w:t>
            </w:r>
          </w:p>
        </w:tc>
        <w:tc>
          <w:tcPr>
            <w:tcW w:type="dxa" w:w="3120"/>
          </w:tcPr>
          <w:p>
            <w:r/>
            <w:r>
              <w:rPr>
                <w:rFonts w:ascii="Calibri" w:hAnsi="Calibri" w:eastAsia="Calibri"/>
                <w:b w:val="0"/>
                <w:i w:val="0"/>
                <w:sz w:val="20"/>
              </w:rPr>
              <w:t>Terminology control</w:t>
            </w:r>
          </w:p>
        </w:tc>
      </w:tr>
      <w:tr>
        <w:tc>
          <w:tcPr>
            <w:tcW w:type="dxa" w:w="3120"/>
          </w:tcPr>
          <w:p>
            <w:r/>
            <w:r>
              <w:rPr>
                <w:rFonts w:ascii="Calibri" w:hAnsi="Calibri" w:eastAsia="Calibri"/>
                <w:b w:val="0"/>
                <w:i w:val="0"/>
                <w:sz w:val="20"/>
              </w:rPr>
              <w:t>8</w:t>
            </w:r>
          </w:p>
        </w:tc>
        <w:tc>
          <w:tcPr>
            <w:tcW w:type="dxa" w:w="3120"/>
          </w:tcPr>
          <w:p>
            <w:r/>
            <w:r>
              <w:rPr>
                <w:rFonts w:ascii="Calibri" w:hAnsi="Calibri" w:eastAsia="Calibri"/>
                <w:b w:val="0"/>
                <w:i w:val="0"/>
                <w:sz w:val="20"/>
              </w:rPr>
              <w:t>Qualify aspirational claims; add evidence where landscape/roadmap/CHIP/FCHIP are assertive</w:t>
            </w:r>
          </w:p>
        </w:tc>
        <w:tc>
          <w:tcPr>
            <w:tcW w:type="dxa" w:w="3120"/>
          </w:tcPr>
          <w:p>
            <w:r/>
            <w:r>
              <w:rPr>
                <w:rFonts w:ascii="Calibri" w:hAnsi="Calibri" w:eastAsia="Calibri"/>
                <w:b w:val="0"/>
                <w:i w:val="0"/>
                <w:sz w:val="20"/>
              </w:rPr>
              <w:t>Credible argument</w:t>
            </w:r>
          </w:p>
        </w:tc>
      </w:tr>
      <w:tr>
        <w:tc>
          <w:tcPr>
            <w:tcW w:type="dxa" w:w="3120"/>
          </w:tcPr>
          <w:p>
            <w:r/>
            <w:r>
              <w:rPr>
                <w:rFonts w:ascii="Calibri" w:hAnsi="Calibri" w:eastAsia="Calibri"/>
                <w:b w:val="0"/>
                <w:i w:val="0"/>
                <w:sz w:val="20"/>
              </w:rPr>
              <w:t>9</w:t>
            </w:r>
          </w:p>
        </w:tc>
        <w:tc>
          <w:tcPr>
            <w:tcW w:type="dxa" w:w="3120"/>
          </w:tcPr>
          <w:p>
            <w:r/>
            <w:r>
              <w:rPr>
                <w:rFonts w:ascii="Calibri" w:hAnsi="Calibri" w:eastAsia="Calibri"/>
                <w:b w:val="0"/>
                <w:i w:val="0"/>
                <w:sz w:val="20"/>
              </w:rPr>
              <w:t>British-English pass; FCHIP/CHIP expansion pass; transition/cross-ref pass</w:t>
            </w:r>
          </w:p>
        </w:tc>
        <w:tc>
          <w:tcPr>
            <w:tcW w:type="dxa" w:w="3120"/>
          </w:tcPr>
          <w:p>
            <w:r/>
            <w:r>
              <w:rPr>
                <w:rFonts w:ascii="Calibri" w:hAnsi="Calibri" w:eastAsia="Calibri"/>
                <w:b w:val="0"/>
                <w:i w:val="0"/>
                <w:sz w:val="20"/>
              </w:rPr>
              <w:t>Consistency</w:t>
            </w:r>
          </w:p>
        </w:tc>
      </w:tr>
      <w:tr>
        <w:tc>
          <w:tcPr>
            <w:tcW w:type="dxa" w:w="3120"/>
          </w:tcPr>
          <w:p>
            <w:r/>
            <w:r>
              <w:rPr>
                <w:rFonts w:ascii="Calibri" w:hAnsi="Calibri" w:eastAsia="Calibri"/>
                <w:b w:val="0"/>
                <w:i w:val="0"/>
                <w:sz w:val="20"/>
              </w:rPr>
              <w:t>10</w:t>
            </w:r>
          </w:p>
        </w:tc>
        <w:tc>
          <w:tcPr>
            <w:tcW w:type="dxa" w:w="3120"/>
          </w:tcPr>
          <w:p>
            <w:r/>
            <w:r>
              <w:rPr>
                <w:rFonts w:ascii="Calibri" w:hAnsi="Calibri" w:eastAsia="Calibri"/>
                <w:b w:val="0"/>
                <w:i w:val="0"/>
                <w:sz w:val="20"/>
              </w:rPr>
              <w:t>Only then: elegant figure production and Word auto-TOC/page numbers</w:t>
            </w:r>
          </w:p>
        </w:tc>
        <w:tc>
          <w:tcPr>
            <w:tcW w:type="dxa" w:w="3120"/>
          </w:tcPr>
          <w:p>
            <w:r/>
            <w:r>
              <w:rPr>
                <w:rFonts w:ascii="Calibri" w:hAnsi="Calibri" w:eastAsia="Calibri"/>
                <w:b w:val="0"/>
                <w:i w:val="0"/>
                <w:sz w:val="20"/>
              </w:rPr>
              <w:t>Founding Edition polish</w:t>
            </w:r>
          </w:p>
        </w:tc>
      </w:tr>
    </w:tbl>
    <w:p/>
    <w:p>
      <w:pPr>
        <w:spacing w:before="320" w:after="120"/>
      </w:pPr>
      <w:r>
        <w:rPr>
          <w:rFonts w:ascii="Calibri" w:hAnsi="Calibri" w:eastAsia="Calibri"/>
          <w:b/>
          <w:i w:val="0"/>
          <w:color w:val="1A3A5C"/>
          <w:sz w:val="28"/>
        </w:rPr>
        <w:t>12. Working chapter map (for reconciliation)</w:t>
      </w:r>
    </w:p>
    <w:p>
      <w:pPr>
        <w:spacing w:after="120" w:line="276" w:lineRule="auto"/>
      </w:pPr>
      <w:r>
        <w:rPr>
          <w:rFonts w:ascii="Calibri" w:hAnsi="Calibri" w:eastAsia="Calibri"/>
          <w:b w:val="0"/>
          <w:i w:val="0"/>
          <w:sz w:val="22"/>
        </w:rPr>
        <w:t>Below is the body as it currently behaves after reading headings — not a prescription, but the baseline editors must reconcile to the TOC.</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A3A5C" w:val="clear"/>
          </w:tcPr>
          <w:p>
            <w:r/>
            <w:r>
              <w:rPr>
                <w:rFonts w:ascii="Calibri" w:hAnsi="Calibri" w:eastAsia="Calibri"/>
                <w:b/>
                <w:i w:val="0"/>
                <w:color w:val="FFFFFF"/>
                <w:sz w:val="20"/>
              </w:rPr>
              <w:t>Body heading</w:t>
            </w:r>
          </w:p>
        </w:tc>
        <w:tc>
          <w:tcPr>
            <w:tcW w:type="dxa" w:w="3120"/>
            <w:shd w:fill="1A3A5C" w:val="clear"/>
          </w:tcPr>
          <w:p>
            <w:r/>
            <w:r>
              <w:rPr>
                <w:rFonts w:ascii="Calibri" w:hAnsi="Calibri" w:eastAsia="Calibri"/>
                <w:b/>
                <w:i w:val="0"/>
                <w:color w:val="FFFFFF"/>
                <w:sz w:val="20"/>
              </w:rPr>
              <w:t>Current title (short)</w:t>
            </w:r>
          </w:p>
        </w:tc>
        <w:tc>
          <w:tcPr>
            <w:tcW w:type="dxa" w:w="3120"/>
            <w:shd w:fill="1A3A5C" w:val="clear"/>
          </w:tcPr>
          <w:p>
            <w:r/>
            <w:r>
              <w:rPr>
                <w:rFonts w:ascii="Calibri" w:hAnsi="Calibri" w:eastAsia="Calibri"/>
                <w:b/>
                <w:i w:val="0"/>
                <w:color w:val="FFFFFF"/>
                <w:sz w:val="20"/>
              </w:rPr>
              <w:t>Notes</w:t>
            </w:r>
          </w:p>
        </w:tc>
      </w:tr>
      <w:tr>
        <w:tc>
          <w:tcPr>
            <w:tcW w:type="dxa" w:w="3120"/>
          </w:tcPr>
          <w:p>
            <w:r/>
            <w:r>
              <w:rPr>
                <w:rFonts w:ascii="Calibri" w:hAnsi="Calibri" w:eastAsia="Calibri"/>
                <w:b w:val="0"/>
                <w:i w:val="0"/>
                <w:sz w:val="20"/>
              </w:rPr>
              <w:t>Ch 1</w:t>
            </w:r>
          </w:p>
        </w:tc>
        <w:tc>
          <w:tcPr>
            <w:tcW w:type="dxa" w:w="3120"/>
          </w:tcPr>
          <w:p>
            <w:r/>
            <w:r>
              <w:rPr>
                <w:rFonts w:ascii="Calibri" w:hAnsi="Calibri" w:eastAsia="Calibri"/>
                <w:b w:val="0"/>
                <w:i w:val="0"/>
                <w:sz w:val="20"/>
              </w:rPr>
              <w:t>The FairBanks Story</w:t>
            </w:r>
          </w:p>
        </w:tc>
        <w:tc>
          <w:tcPr>
            <w:tcW w:type="dxa" w:w="3120"/>
          </w:tcPr>
          <w:p>
            <w:r/>
            <w:r>
              <w:rPr>
                <w:rFonts w:ascii="Calibri" w:hAnsi="Calibri" w:eastAsia="Calibri"/>
                <w:b w:val="0"/>
                <w:i w:val="0"/>
                <w:sz w:val="20"/>
              </w:rPr>
              <w:t>OK</w:t>
            </w:r>
          </w:p>
        </w:tc>
      </w:tr>
      <w:tr>
        <w:tc>
          <w:tcPr>
            <w:tcW w:type="dxa" w:w="3120"/>
          </w:tcPr>
          <w:p>
            <w:r/>
            <w:r>
              <w:rPr>
                <w:rFonts w:ascii="Calibri" w:hAnsi="Calibri" w:eastAsia="Calibri"/>
                <w:b w:val="0"/>
                <w:i w:val="0"/>
                <w:sz w:val="20"/>
              </w:rPr>
              <w:t>Ch 2</w:t>
            </w:r>
          </w:p>
        </w:tc>
        <w:tc>
          <w:tcPr>
            <w:tcW w:type="dxa" w:w="3120"/>
          </w:tcPr>
          <w:p>
            <w:r/>
            <w:r>
              <w:rPr>
                <w:rFonts w:ascii="Calibri" w:hAnsi="Calibri" w:eastAsia="Calibri"/>
                <w:b w:val="0"/>
                <w:i w:val="0"/>
                <w:sz w:val="20"/>
              </w:rPr>
              <w:t>Need for Transformation</w:t>
            </w:r>
          </w:p>
        </w:tc>
        <w:tc>
          <w:tcPr>
            <w:tcW w:type="dxa" w:w="3120"/>
          </w:tcPr>
          <w:p>
            <w:r/>
            <w:r>
              <w:rPr>
                <w:rFonts w:ascii="Calibri" w:hAnsi="Calibri" w:eastAsia="Calibri"/>
                <w:b w:val="0"/>
                <w:i w:val="0"/>
                <w:sz w:val="20"/>
              </w:rPr>
              <w:t>OK</w:t>
            </w:r>
          </w:p>
        </w:tc>
      </w:tr>
      <w:tr>
        <w:tc>
          <w:tcPr>
            <w:tcW w:type="dxa" w:w="3120"/>
          </w:tcPr>
          <w:p>
            <w:r/>
            <w:r>
              <w:rPr>
                <w:rFonts w:ascii="Calibri" w:hAnsi="Calibri" w:eastAsia="Calibri"/>
                <w:b w:val="0"/>
                <w:i w:val="0"/>
                <w:sz w:val="20"/>
              </w:rPr>
              <w:t>Ch 3</w:t>
            </w:r>
          </w:p>
        </w:tc>
        <w:tc>
          <w:tcPr>
            <w:tcW w:type="dxa" w:w="3120"/>
          </w:tcPr>
          <w:p>
            <w:r/>
            <w:r>
              <w:rPr>
                <w:rFonts w:ascii="Calibri" w:hAnsi="Calibri" w:eastAsia="Calibri"/>
                <w:b w:val="0"/>
                <w:i w:val="0"/>
                <w:sz w:val="20"/>
              </w:rPr>
              <w:t>Healthcare Landscape / Position</w:t>
            </w:r>
          </w:p>
        </w:tc>
        <w:tc>
          <w:tcPr>
            <w:tcW w:type="dxa" w:w="3120"/>
          </w:tcPr>
          <w:p>
            <w:r/>
            <w:r>
              <w:rPr>
                <w:rFonts w:ascii="Calibri" w:hAnsi="Calibri" w:eastAsia="Calibri"/>
                <w:b w:val="0"/>
                <w:i w:val="0"/>
                <w:sz w:val="20"/>
              </w:rPr>
              <w:t>Needs evidence</w:t>
            </w:r>
          </w:p>
        </w:tc>
      </w:tr>
      <w:tr>
        <w:tc>
          <w:tcPr>
            <w:tcW w:type="dxa" w:w="3120"/>
          </w:tcPr>
          <w:p>
            <w:r/>
            <w:r>
              <w:rPr>
                <w:rFonts w:ascii="Calibri" w:hAnsi="Calibri" w:eastAsia="Calibri"/>
                <w:b w:val="0"/>
                <w:i w:val="0"/>
                <w:sz w:val="20"/>
              </w:rPr>
              <w:t>Ch 4</w:t>
            </w:r>
          </w:p>
        </w:tc>
        <w:tc>
          <w:tcPr>
            <w:tcW w:type="dxa" w:w="3120"/>
          </w:tcPr>
          <w:p>
            <w:r/>
            <w:r>
              <w:rPr>
                <w:rFonts w:ascii="Calibri" w:hAnsi="Calibri" w:eastAsia="Calibri"/>
                <w:b w:val="0"/>
                <w:i w:val="0"/>
                <w:sz w:val="20"/>
              </w:rPr>
              <w:t>FITF</w:t>
            </w:r>
          </w:p>
        </w:tc>
        <w:tc>
          <w:tcPr>
            <w:tcW w:type="dxa" w:w="3120"/>
          </w:tcPr>
          <w:p>
            <w:r/>
            <w:r>
              <w:rPr>
                <w:rFonts w:ascii="Calibri" w:hAnsi="Calibri" w:eastAsia="Calibri"/>
                <w:b w:val="0"/>
                <w:i w:val="0"/>
                <w:sz w:val="20"/>
              </w:rPr>
              <w:t>Contains orphaned FIHE 5.6–5.11</w:t>
            </w:r>
          </w:p>
        </w:tc>
      </w:tr>
      <w:tr>
        <w:tc>
          <w:tcPr>
            <w:tcW w:type="dxa" w:w="3120"/>
          </w:tcPr>
          <w:p>
            <w:r/>
            <w:r>
              <w:rPr>
                <w:rFonts w:ascii="Calibri" w:hAnsi="Calibri" w:eastAsia="Calibri"/>
                <w:b w:val="0"/>
                <w:i w:val="0"/>
                <w:sz w:val="20"/>
              </w:rPr>
              <w:t>(missing Ch 5 heading)</w:t>
            </w:r>
          </w:p>
        </w:tc>
        <w:tc>
          <w:tcPr>
            <w:tcW w:type="dxa" w:w="3120"/>
          </w:tcPr>
          <w:p>
            <w:r/>
            <w:r>
              <w:rPr>
                <w:rFonts w:ascii="Calibri" w:hAnsi="Calibri" w:eastAsia="Calibri"/>
                <w:b w:val="0"/>
                <w:i w:val="0"/>
                <w:sz w:val="20"/>
              </w:rPr>
              <w:t>FIHE fragment</w:t>
            </w:r>
          </w:p>
        </w:tc>
        <w:tc>
          <w:tcPr>
            <w:tcW w:type="dxa" w:w="3120"/>
          </w:tcPr>
          <w:p>
            <w:r/>
            <w:r>
              <w:rPr>
                <w:rFonts w:ascii="Calibri" w:hAnsi="Calibri" w:eastAsia="Calibri"/>
                <w:b w:val="0"/>
                <w:i w:val="0"/>
                <w:sz w:val="20"/>
              </w:rPr>
              <w:t>Critical</w:t>
            </w:r>
          </w:p>
        </w:tc>
      </w:tr>
      <w:tr>
        <w:tc>
          <w:tcPr>
            <w:tcW w:type="dxa" w:w="3120"/>
          </w:tcPr>
          <w:p>
            <w:r/>
            <w:r>
              <w:rPr>
                <w:rFonts w:ascii="Calibri" w:hAnsi="Calibri" w:eastAsia="Calibri"/>
                <w:b w:val="0"/>
                <w:i w:val="0"/>
                <w:sz w:val="20"/>
              </w:rPr>
              <w:t>Ch 6</w:t>
            </w:r>
          </w:p>
        </w:tc>
        <w:tc>
          <w:tcPr>
            <w:tcW w:type="dxa" w:w="3120"/>
          </w:tcPr>
          <w:p>
            <w:r/>
            <w:r>
              <w:rPr>
                <w:rFonts w:ascii="Calibri" w:hAnsi="Calibri" w:eastAsia="Calibri"/>
                <w:b w:val="0"/>
                <w:i w:val="0"/>
                <w:sz w:val="20"/>
              </w:rPr>
              <w:t>F7TM</w:t>
            </w:r>
          </w:p>
        </w:tc>
        <w:tc>
          <w:tcPr>
            <w:tcW w:type="dxa" w:w="3120"/>
          </w:tcPr>
          <w:p>
            <w:r/>
            <w:r>
              <w:rPr>
                <w:rFonts w:ascii="Calibri" w:hAnsi="Calibri" w:eastAsia="Calibri"/>
                <w:b w:val="0"/>
                <w:i w:val="0"/>
                <w:sz w:val="20"/>
              </w:rPr>
              <w:t>TOC expected FITF</w:t>
            </w:r>
          </w:p>
        </w:tc>
      </w:tr>
      <w:tr>
        <w:tc>
          <w:tcPr>
            <w:tcW w:type="dxa" w:w="3120"/>
          </w:tcPr>
          <w:p>
            <w:r/>
            <w:r>
              <w:rPr>
                <w:rFonts w:ascii="Calibri" w:hAnsi="Calibri" w:eastAsia="Calibri"/>
                <w:b w:val="0"/>
                <w:i w:val="0"/>
                <w:sz w:val="20"/>
              </w:rPr>
              <w:t>Ch 7</w:t>
            </w:r>
          </w:p>
        </w:tc>
        <w:tc>
          <w:tcPr>
            <w:tcW w:type="dxa" w:w="3120"/>
          </w:tcPr>
          <w:p>
            <w:r/>
            <w:r>
              <w:rPr>
                <w:rFonts w:ascii="Calibri" w:hAnsi="Calibri" w:eastAsia="Calibri"/>
                <w:b w:val="0"/>
                <w:i w:val="0"/>
                <w:sz w:val="20"/>
              </w:rPr>
              <w:t>FMM</w:t>
            </w:r>
          </w:p>
        </w:tc>
        <w:tc>
          <w:tcPr>
            <w:tcW w:type="dxa" w:w="3120"/>
          </w:tcPr>
          <w:p>
            <w:r/>
            <w:r>
              <w:rPr>
                <w:rFonts w:ascii="Calibri" w:hAnsi="Calibri" w:eastAsia="Calibri"/>
                <w:b w:val="0"/>
                <w:i w:val="0"/>
                <w:sz w:val="20"/>
              </w:rPr>
              <w:t>Shifted</w:t>
            </w:r>
          </w:p>
        </w:tc>
      </w:tr>
      <w:tr>
        <w:tc>
          <w:tcPr>
            <w:tcW w:type="dxa" w:w="3120"/>
          </w:tcPr>
          <w:p>
            <w:r/>
            <w:r>
              <w:rPr>
                <w:rFonts w:ascii="Calibri" w:hAnsi="Calibri" w:eastAsia="Calibri"/>
                <w:b w:val="0"/>
                <w:i w:val="0"/>
                <w:sz w:val="20"/>
              </w:rPr>
              <w:t>Ch 8</w:t>
            </w:r>
          </w:p>
        </w:tc>
        <w:tc>
          <w:tcPr>
            <w:tcW w:type="dxa" w:w="3120"/>
          </w:tcPr>
          <w:p>
            <w:r/>
            <w:r>
              <w:rPr>
                <w:rFonts w:ascii="Calibri" w:hAnsi="Calibri" w:eastAsia="Calibri"/>
                <w:b w:val="0"/>
                <w:i w:val="0"/>
                <w:sz w:val="20"/>
              </w:rPr>
              <w:t>FCHIP</w:t>
            </w:r>
          </w:p>
        </w:tc>
        <w:tc>
          <w:tcPr>
            <w:tcW w:type="dxa" w:w="3120"/>
          </w:tcPr>
          <w:p>
            <w:r/>
            <w:r>
              <w:rPr>
                <w:rFonts w:ascii="Calibri" w:hAnsi="Calibri" w:eastAsia="Calibri"/>
                <w:b w:val="0"/>
                <w:i w:val="0"/>
                <w:sz w:val="20"/>
              </w:rPr>
              <w:t>Shifted</w:t>
            </w:r>
          </w:p>
        </w:tc>
      </w:tr>
      <w:tr>
        <w:tc>
          <w:tcPr>
            <w:tcW w:type="dxa" w:w="3120"/>
          </w:tcPr>
          <w:p>
            <w:r/>
            <w:r>
              <w:rPr>
                <w:rFonts w:ascii="Calibri" w:hAnsi="Calibri" w:eastAsia="Calibri"/>
                <w:b w:val="0"/>
                <w:i w:val="0"/>
                <w:sz w:val="20"/>
              </w:rPr>
              <w:t>Ch 9</w:t>
            </w:r>
          </w:p>
        </w:tc>
        <w:tc>
          <w:tcPr>
            <w:tcW w:type="dxa" w:w="3120"/>
          </w:tcPr>
          <w:p>
            <w:r/>
            <w:r>
              <w:rPr>
                <w:rFonts w:ascii="Calibri" w:hAnsi="Calibri" w:eastAsia="Calibri"/>
                <w:b w:val="0"/>
                <w:i w:val="0"/>
                <w:sz w:val="20"/>
              </w:rPr>
              <w:t>CHIP</w:t>
            </w:r>
          </w:p>
        </w:tc>
        <w:tc>
          <w:tcPr>
            <w:tcW w:type="dxa" w:w="3120"/>
          </w:tcPr>
          <w:p>
            <w:r/>
            <w:r>
              <w:rPr>
                <w:rFonts w:ascii="Calibri" w:hAnsi="Calibri" w:eastAsia="Calibri"/>
                <w:b w:val="0"/>
                <w:i w:val="0"/>
                <w:sz w:val="20"/>
              </w:rPr>
              <w:t>Broken opening; starts at 9.5</w:t>
            </w:r>
          </w:p>
        </w:tc>
      </w:tr>
      <w:tr>
        <w:tc>
          <w:tcPr>
            <w:tcW w:type="dxa" w:w="3120"/>
          </w:tcPr>
          <w:p>
            <w:r/>
            <w:r>
              <w:rPr>
                <w:rFonts w:ascii="Calibri" w:hAnsi="Calibri" w:eastAsia="Calibri"/>
                <w:b w:val="0"/>
                <w:i w:val="0"/>
                <w:sz w:val="20"/>
              </w:rPr>
              <w:t>Ch 10</w:t>
            </w:r>
          </w:p>
        </w:tc>
        <w:tc>
          <w:tcPr>
            <w:tcW w:type="dxa" w:w="3120"/>
          </w:tcPr>
          <w:p>
            <w:r/>
            <w:r>
              <w:rPr>
                <w:rFonts w:ascii="Calibri" w:hAnsi="Calibri" w:eastAsia="Calibri"/>
                <w:b w:val="0"/>
                <w:i w:val="0"/>
                <w:sz w:val="20"/>
              </w:rPr>
              <w:t>Strategic Implementation Roadmap</w:t>
            </w:r>
          </w:p>
        </w:tc>
        <w:tc>
          <w:tcPr>
            <w:tcW w:type="dxa" w:w="3120"/>
          </w:tcPr>
          <w:p>
            <w:r/>
            <w:r>
              <w:rPr>
                <w:rFonts w:ascii="Calibri" w:hAnsi="Calibri" w:eastAsia="Calibri"/>
                <w:b w:val="0"/>
                <w:i w:val="0"/>
                <w:sz w:val="20"/>
              </w:rPr>
              <w:t>TOC expected CHIP</w:t>
            </w:r>
          </w:p>
        </w:tc>
      </w:tr>
      <w:tr>
        <w:tc>
          <w:tcPr>
            <w:tcW w:type="dxa" w:w="3120"/>
          </w:tcPr>
          <w:p>
            <w:r/>
            <w:r>
              <w:rPr>
                <w:rFonts w:ascii="Calibri" w:hAnsi="Calibri" w:eastAsia="Calibri"/>
                <w:b w:val="0"/>
                <w:i w:val="0"/>
                <w:sz w:val="20"/>
              </w:rPr>
              <w:t>Ch 11</w:t>
            </w:r>
          </w:p>
        </w:tc>
        <w:tc>
          <w:tcPr>
            <w:tcW w:type="dxa" w:w="3120"/>
          </w:tcPr>
          <w:p>
            <w:r/>
            <w:r>
              <w:rPr>
                <w:rFonts w:ascii="Calibri" w:hAnsi="Calibri" w:eastAsia="Calibri"/>
                <w:b w:val="0"/>
                <w:i w:val="0"/>
                <w:sz w:val="20"/>
              </w:rPr>
              <w:t>Hybrid Organizational Structure</w:t>
            </w:r>
          </w:p>
        </w:tc>
        <w:tc>
          <w:tcPr>
            <w:tcW w:type="dxa" w:w="3120"/>
          </w:tcPr>
          <w:p>
            <w:r/>
            <w:r>
              <w:rPr>
                <w:rFonts w:ascii="Calibri" w:hAnsi="Calibri" w:eastAsia="Calibri"/>
                <w:b w:val="0"/>
                <w:i w:val="0"/>
                <w:sz w:val="20"/>
              </w:rPr>
              <w:t>OK-ish vs TOC Ch 12</w:t>
            </w:r>
          </w:p>
        </w:tc>
      </w:tr>
      <w:tr>
        <w:tc>
          <w:tcPr>
            <w:tcW w:type="dxa" w:w="3120"/>
          </w:tcPr>
          <w:p>
            <w:r/>
            <w:r>
              <w:rPr>
                <w:rFonts w:ascii="Calibri" w:hAnsi="Calibri" w:eastAsia="Calibri"/>
                <w:b w:val="0"/>
                <w:i w:val="0"/>
                <w:sz w:val="20"/>
              </w:rPr>
              <w:t>Ch 12</w:t>
            </w:r>
          </w:p>
        </w:tc>
        <w:tc>
          <w:tcPr>
            <w:tcW w:type="dxa" w:w="3120"/>
          </w:tcPr>
          <w:p>
            <w:r/>
            <w:r>
              <w:rPr>
                <w:rFonts w:ascii="Calibri" w:hAnsi="Calibri" w:eastAsia="Calibri"/>
                <w:b w:val="0"/>
                <w:i w:val="0"/>
                <w:sz w:val="20"/>
              </w:rPr>
              <w:t>Sustainable Financing</w:t>
            </w:r>
          </w:p>
        </w:tc>
        <w:tc>
          <w:tcPr>
            <w:tcW w:type="dxa" w:w="3120"/>
          </w:tcPr>
          <w:p>
            <w:r/>
            <w:r>
              <w:rPr>
                <w:rFonts w:ascii="Calibri" w:hAnsi="Calibri" w:eastAsia="Calibri"/>
                <w:b w:val="0"/>
                <w:i w:val="0"/>
                <w:sz w:val="20"/>
              </w:rPr>
              <w:t>OK-ish vs TOC Ch 13</w:t>
            </w:r>
          </w:p>
        </w:tc>
      </w:tr>
      <w:tr>
        <w:tc>
          <w:tcPr>
            <w:tcW w:type="dxa" w:w="3120"/>
          </w:tcPr>
          <w:p>
            <w:r/>
            <w:r>
              <w:rPr>
                <w:rFonts w:ascii="Calibri" w:hAnsi="Calibri" w:eastAsia="Calibri"/>
                <w:b w:val="0"/>
                <w:i w:val="0"/>
                <w:sz w:val="20"/>
              </w:rPr>
              <w:t>Ch 13</w:t>
            </w:r>
          </w:p>
        </w:tc>
        <w:tc>
          <w:tcPr>
            <w:tcW w:type="dxa" w:w="3120"/>
          </w:tcPr>
          <w:p>
            <w:r/>
            <w:r>
              <w:rPr>
                <w:rFonts w:ascii="Calibri" w:hAnsi="Calibri" w:eastAsia="Calibri"/>
                <w:b w:val="0"/>
                <w:i w:val="0"/>
                <w:sz w:val="20"/>
              </w:rPr>
              <w:t>Strategic Partnerships</w:t>
            </w:r>
          </w:p>
        </w:tc>
        <w:tc>
          <w:tcPr>
            <w:tcW w:type="dxa" w:w="3120"/>
          </w:tcPr>
          <w:p>
            <w:r/>
            <w:r>
              <w:rPr>
                <w:rFonts w:ascii="Calibri" w:hAnsi="Calibri" w:eastAsia="Calibri"/>
                <w:b w:val="0"/>
                <w:i w:val="0"/>
                <w:sz w:val="20"/>
              </w:rPr>
              <w:t>OK-ish vs TOC Ch 14</w:t>
            </w:r>
          </w:p>
        </w:tc>
      </w:tr>
      <w:tr>
        <w:tc>
          <w:tcPr>
            <w:tcW w:type="dxa" w:w="3120"/>
          </w:tcPr>
          <w:p>
            <w:r/>
            <w:r>
              <w:rPr>
                <w:rFonts w:ascii="Calibri" w:hAnsi="Calibri" w:eastAsia="Calibri"/>
                <w:b w:val="0"/>
                <w:i w:val="0"/>
                <w:sz w:val="20"/>
              </w:rPr>
              <w:t>Ch 14</w:t>
            </w:r>
          </w:p>
        </w:tc>
        <w:tc>
          <w:tcPr>
            <w:tcW w:type="dxa" w:w="3120"/>
          </w:tcPr>
          <w:p>
            <w:r/>
            <w:r>
              <w:rPr>
                <w:rFonts w:ascii="Calibri" w:hAnsi="Calibri" w:eastAsia="Calibri"/>
                <w:b w:val="0"/>
                <w:i w:val="0"/>
                <w:sz w:val="20"/>
              </w:rPr>
              <w:t>Identity / Brand / Influence</w:t>
            </w:r>
          </w:p>
        </w:tc>
        <w:tc>
          <w:tcPr>
            <w:tcW w:type="dxa" w:w="3120"/>
          </w:tcPr>
          <w:p>
            <w:r/>
            <w:r>
              <w:rPr>
                <w:rFonts w:ascii="Calibri" w:hAnsi="Calibri" w:eastAsia="Calibri"/>
                <w:b w:val="0"/>
                <w:i w:val="0"/>
                <w:sz w:val="20"/>
              </w:rPr>
              <w:t>TOC expected Brand as Ch 15</w:t>
            </w:r>
          </w:p>
        </w:tc>
      </w:tr>
      <w:tr>
        <w:tc>
          <w:tcPr>
            <w:tcW w:type="dxa" w:w="3120"/>
          </w:tcPr>
          <w:p>
            <w:r/>
            <w:r>
              <w:rPr>
                <w:rFonts w:ascii="Calibri" w:hAnsi="Calibri" w:eastAsia="Calibri"/>
                <w:b w:val="0"/>
                <w:i w:val="0"/>
                <w:sz w:val="20"/>
              </w:rPr>
              <w:t>Ch 15</w:t>
            </w:r>
          </w:p>
        </w:tc>
        <w:tc>
          <w:tcPr>
            <w:tcW w:type="dxa" w:w="3120"/>
          </w:tcPr>
          <w:p>
            <w:r/>
            <w:r>
              <w:rPr>
                <w:rFonts w:ascii="Calibri" w:hAnsi="Calibri" w:eastAsia="Calibri"/>
                <w:b w:val="0"/>
                <w:i w:val="0"/>
                <w:sz w:val="20"/>
              </w:rPr>
              <w:t>MELKMF</w:t>
            </w:r>
          </w:p>
        </w:tc>
        <w:tc>
          <w:tcPr>
            <w:tcW w:type="dxa" w:w="3120"/>
          </w:tcPr>
          <w:p>
            <w:r/>
            <w:r>
              <w:rPr>
                <w:rFonts w:ascii="Calibri" w:hAnsi="Calibri" w:eastAsia="Calibri"/>
                <w:b w:val="0"/>
                <w:i w:val="0"/>
                <w:sz w:val="20"/>
              </w:rPr>
              <w:t>TOC expected this later</w:t>
            </w:r>
          </w:p>
        </w:tc>
      </w:tr>
      <w:tr>
        <w:tc>
          <w:tcPr>
            <w:tcW w:type="dxa" w:w="3120"/>
          </w:tcPr>
          <w:p>
            <w:r/>
            <w:r>
              <w:rPr>
                <w:rFonts w:ascii="Calibri" w:hAnsi="Calibri" w:eastAsia="Calibri"/>
                <w:b w:val="0"/>
                <w:i w:val="0"/>
                <w:sz w:val="20"/>
              </w:rPr>
              <w:t>Ch 16</w:t>
            </w:r>
          </w:p>
        </w:tc>
        <w:tc>
          <w:tcPr>
            <w:tcW w:type="dxa" w:w="3120"/>
          </w:tcPr>
          <w:p>
            <w:r/>
            <w:r>
              <w:rPr>
                <w:rFonts w:ascii="Calibri" w:hAnsi="Calibri" w:eastAsia="Calibri"/>
                <w:b w:val="0"/>
                <w:i w:val="0"/>
                <w:sz w:val="20"/>
              </w:rPr>
              <w:t>Enterprise Risk / Resilience</w:t>
            </w:r>
          </w:p>
        </w:tc>
        <w:tc>
          <w:tcPr>
            <w:tcW w:type="dxa" w:w="3120"/>
          </w:tcPr>
          <w:p>
            <w:r/>
            <w:r>
              <w:rPr>
                <w:rFonts w:ascii="Calibri" w:hAnsi="Calibri" w:eastAsia="Calibri"/>
                <w:b w:val="0"/>
                <w:i w:val="0"/>
                <w:sz w:val="20"/>
              </w:rPr>
              <w:t>TOC expected MEL here</w:t>
            </w:r>
          </w:p>
        </w:tc>
      </w:tr>
      <w:tr>
        <w:tc>
          <w:tcPr>
            <w:tcW w:type="dxa" w:w="3120"/>
          </w:tcPr>
          <w:p>
            <w:r/>
            <w:r>
              <w:rPr>
                <w:rFonts w:ascii="Calibri" w:hAnsi="Calibri" w:eastAsia="Calibri"/>
                <w:b w:val="0"/>
                <w:i w:val="0"/>
                <w:sz w:val="20"/>
              </w:rPr>
              <w:t>Ch 17A / 17B</w:t>
            </w:r>
          </w:p>
        </w:tc>
        <w:tc>
          <w:tcPr>
            <w:tcW w:type="dxa" w:w="3120"/>
          </w:tcPr>
          <w:p>
            <w:r/>
            <w:r>
              <w:rPr>
                <w:rFonts w:ascii="Calibri" w:hAnsi="Calibri" w:eastAsia="Calibri"/>
                <w:b w:val="0"/>
                <w:i w:val="0"/>
                <w:sz w:val="20"/>
              </w:rPr>
              <w:t>Investment / Stewardship (two drafts)</w:t>
            </w:r>
          </w:p>
        </w:tc>
        <w:tc>
          <w:tcPr>
            <w:tcW w:type="dxa" w:w="3120"/>
          </w:tcPr>
          <w:p>
            <w:r/>
            <w:r>
              <w:rPr>
                <w:rFonts w:ascii="Calibri" w:hAnsi="Calibri" w:eastAsia="Calibri"/>
                <w:b w:val="0"/>
                <w:i w:val="0"/>
                <w:sz w:val="20"/>
              </w:rPr>
              <w:t>Critical duplicate</w:t>
            </w:r>
          </w:p>
        </w:tc>
      </w:tr>
      <w:tr>
        <w:tc>
          <w:tcPr>
            <w:tcW w:type="dxa" w:w="3120"/>
          </w:tcPr>
          <w:p>
            <w:r/>
            <w:r>
              <w:rPr>
                <w:rFonts w:ascii="Calibri" w:hAnsi="Calibri" w:eastAsia="Calibri"/>
                <w:b w:val="0"/>
                <w:i w:val="0"/>
                <w:sz w:val="20"/>
              </w:rPr>
              <w:t>Ch 18</w:t>
            </w:r>
          </w:p>
        </w:tc>
        <w:tc>
          <w:tcPr>
            <w:tcW w:type="dxa" w:w="3120"/>
          </w:tcPr>
          <w:p>
            <w:r/>
            <w:r>
              <w:rPr>
                <w:rFonts w:ascii="Calibri" w:hAnsi="Calibri" w:eastAsia="Calibri"/>
                <w:b w:val="0"/>
                <w:i w:val="0"/>
                <w:sz w:val="20"/>
              </w:rPr>
              <w:t>The Future We Choose</w:t>
            </w:r>
          </w:p>
        </w:tc>
        <w:tc>
          <w:tcPr>
            <w:tcW w:type="dxa" w:w="3120"/>
          </w:tcPr>
          <w:p>
            <w:r/>
            <w:r>
              <w:rPr>
                <w:rFonts w:ascii="Calibri" w:hAnsi="Calibri" w:eastAsia="Calibri"/>
                <w:b w:val="0"/>
                <w:i w:val="0"/>
                <w:sz w:val="20"/>
              </w:rPr>
              <w:t>OK conceptually</w:t>
            </w:r>
          </w:p>
        </w:tc>
      </w:tr>
      <w:tr>
        <w:tc>
          <w:tcPr>
            <w:tcW w:type="dxa" w:w="3120"/>
          </w:tcPr>
          <w:p>
            <w:r/>
            <w:r>
              <w:rPr>
                <w:rFonts w:ascii="Calibri" w:hAnsi="Calibri" w:eastAsia="Calibri"/>
                <w:b w:val="0"/>
                <w:i w:val="0"/>
                <w:sz w:val="20"/>
              </w:rPr>
              <w:t>Ch 19</w:t>
            </w:r>
          </w:p>
        </w:tc>
        <w:tc>
          <w:tcPr>
            <w:tcW w:type="dxa" w:w="3120"/>
          </w:tcPr>
          <w:p>
            <w:r/>
            <w:r>
              <w:rPr>
                <w:rFonts w:ascii="Calibri" w:hAnsi="Calibri" w:eastAsia="Calibri"/>
                <w:b w:val="0"/>
                <w:i w:val="0"/>
                <w:sz w:val="20"/>
              </w:rPr>
              <w:t>Manifesto</w:t>
            </w:r>
          </w:p>
        </w:tc>
        <w:tc>
          <w:tcPr>
            <w:tcW w:type="dxa" w:w="3120"/>
          </w:tcPr>
          <w:p>
            <w:r/>
            <w:r>
              <w:rPr>
                <w:rFonts w:ascii="Calibri" w:hAnsi="Calibri" w:eastAsia="Calibri"/>
                <w:b w:val="0"/>
                <w:i w:val="0"/>
                <w:sz w:val="20"/>
              </w:rPr>
              <w:t>TOC Ch 21</w:t>
            </w:r>
          </w:p>
        </w:tc>
      </w:tr>
      <w:tr>
        <w:tc>
          <w:tcPr>
            <w:tcW w:type="dxa" w:w="3120"/>
          </w:tcPr>
          <w:p>
            <w:r/>
            <w:r>
              <w:rPr>
                <w:rFonts w:ascii="Calibri" w:hAnsi="Calibri" w:eastAsia="Calibri"/>
                <w:b w:val="0"/>
                <w:i w:val="0"/>
                <w:sz w:val="20"/>
              </w:rPr>
              <w:t>Ch 20</w:t>
            </w:r>
          </w:p>
        </w:tc>
        <w:tc>
          <w:tcPr>
            <w:tcW w:type="dxa" w:w="3120"/>
          </w:tcPr>
          <w:p>
            <w:r/>
            <w:r>
              <w:rPr>
                <w:rFonts w:ascii="Calibri" w:hAnsi="Calibri" w:eastAsia="Calibri"/>
                <w:b w:val="0"/>
                <w:i w:val="0"/>
                <w:sz w:val="20"/>
              </w:rPr>
              <w:t>Declaration</w:t>
            </w:r>
          </w:p>
        </w:tc>
        <w:tc>
          <w:tcPr>
            <w:tcW w:type="dxa" w:w="3120"/>
          </w:tcPr>
          <w:p>
            <w:r/>
            <w:r>
              <w:rPr>
                <w:rFonts w:ascii="Calibri" w:hAnsi="Calibri" w:eastAsia="Calibri"/>
                <w:b w:val="0"/>
                <w:i w:val="0"/>
                <w:sz w:val="20"/>
              </w:rPr>
              <w:t>TOC Ch 22</w:t>
            </w:r>
          </w:p>
        </w:tc>
      </w:tr>
      <w:tr>
        <w:tc>
          <w:tcPr>
            <w:tcW w:type="dxa" w:w="3120"/>
          </w:tcPr>
          <w:p>
            <w:r/>
            <w:r>
              <w:rPr>
                <w:rFonts w:ascii="Calibri" w:hAnsi="Calibri" w:eastAsia="Calibri"/>
                <w:b w:val="0"/>
                <w:i w:val="0"/>
                <w:sz w:val="20"/>
              </w:rPr>
              <w:t>Ch 21 (+dup)</w:t>
            </w:r>
          </w:p>
        </w:tc>
        <w:tc>
          <w:tcPr>
            <w:tcW w:type="dxa" w:w="3120"/>
          </w:tcPr>
          <w:p>
            <w:r/>
            <w:r>
              <w:rPr>
                <w:rFonts w:ascii="Calibri" w:hAnsi="Calibri" w:eastAsia="Calibri"/>
                <w:b w:val="0"/>
                <w:i w:val="0"/>
                <w:sz w:val="20"/>
              </w:rPr>
              <w:t>Covenant</w:t>
            </w:r>
          </w:p>
        </w:tc>
        <w:tc>
          <w:tcPr>
            <w:tcW w:type="dxa" w:w="3120"/>
          </w:tcPr>
          <w:p>
            <w:r/>
            <w:r>
              <w:rPr>
                <w:rFonts w:ascii="Calibri" w:hAnsi="Calibri" w:eastAsia="Calibri"/>
                <w:b w:val="0"/>
                <w:i w:val="0"/>
                <w:sz w:val="20"/>
              </w:rPr>
              <w:t>TOC Ch 23; duplicate copy</w:t>
            </w:r>
          </w:p>
        </w:tc>
      </w:tr>
    </w:tbl>
    <w:p/>
    <w:p>
      <w:pPr>
        <w:spacing w:before="320" w:after="120"/>
      </w:pPr>
      <w:r>
        <w:rPr>
          <w:rFonts w:ascii="Calibri" w:hAnsi="Calibri" w:eastAsia="Calibri"/>
          <w:b/>
          <w:i w:val="0"/>
          <w:color w:val="1A3A5C"/>
          <w:sz w:val="28"/>
        </w:rPr>
        <w:t>13. Closing note to the editorial team</w:t>
      </w:r>
    </w:p>
    <w:p>
      <w:pPr>
        <w:spacing w:after="120" w:line="276" w:lineRule="auto"/>
      </w:pPr>
      <w:r>
        <w:rPr>
          <w:rFonts w:ascii="Calibri" w:hAnsi="Calibri" w:eastAsia="Calibri"/>
          <w:b w:val="0"/>
          <w:i w:val="0"/>
          <w:sz w:val="22"/>
        </w:rPr>
        <w:t>Do not polish sentences until the skeleton is stable. Most “style” problems will shrink once duplicates are removed, Chapter Five/Nine are repaired, and figures/appendices either arrive or are honestly deferred. The manuscript already has the moral centre and institutional ambition of a founding blueprint; the next draft should make the architecture trustworthy.</w:t>
      </w:r>
    </w:p>
    <w:p>
      <w:pPr>
        <w:spacing w:after="120" w:line="276" w:lineRule="auto"/>
      </w:pPr>
      <w:r>
        <w:rPr>
          <w:rFonts w:ascii="Calibri" w:hAnsi="Calibri" w:eastAsia="Calibri"/>
          <w:b w:val="0"/>
          <w:i w:val="0"/>
          <w:sz w:val="22"/>
        </w:rPr>
        <w:t>Audit method: full-text extraction and structural scan of the Word draft (paragraph inventory, heading map, term counts, table/figure lists, cross-reference scan). Original file untouched.</w:t>
      </w:r>
    </w:p>
    <w:p>
      <w:pPr>
        <w:spacing w:before="360"/>
      </w:pPr>
      <w:r>
        <w:rPr>
          <w:rFonts w:ascii="Calibri" w:hAnsi="Calibri" w:eastAsia="Calibri"/>
          <w:b w:val="0"/>
          <w:i/>
          <w:color w:val="666666"/>
          <w:sz w:val="20"/>
        </w:rPr>
        <w:t>End of ASS 4 — Manuscript Quality Audit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