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026"/>
      </w:tblGrid>
      <w:tr>
        <w:tc>
          <w:tcPr>
            <w:tcW w:type="dxa" w:w="9026"/>
            <w:shd w:fill="0F3D4C" w:val="clear"/>
            <w:tcMar>
              <w:top w:w="160" w:type="dxa"/>
              <w:left w:w="200" w:type="dxa"/>
              <w:bottom w:w="140" w:type="dxa"/>
              <w:right w:w="200" w:type="dxa"/>
            </w:tcMar>
          </w:tcPr>
          <w:p>
            <w:pPr>
              <w:spacing w:before="0" w:after="80" w:line="240" w:lineRule="auto"/>
              <w:jc w:val="center"/>
            </w:pPr>
            <w:r>
              <w:rPr>
                <w:rFonts w:ascii="Georgia" w:hAnsi="Georgia" w:eastAsia="Georgia"/>
                <w:b/>
                <w:i w:val="0"/>
                <w:color w:val="FFFFFF"/>
                <w:sz w:val="52"/>
              </w:rPr>
              <w:t>TYRA REBECCA NALUKWAGO</w:t>
            </w:r>
          </w:p>
          <w:p>
            <w:pPr>
              <w:spacing w:before="0" w:after="40" w:line="240" w:lineRule="auto"/>
              <w:jc w:val="center"/>
            </w:pPr>
            <w:r>
              <w:rPr>
                <w:rFonts w:ascii="Calibri" w:hAnsi="Calibri" w:eastAsia="Calibri"/>
                <w:b w:val="0"/>
                <w:i w:val="0"/>
                <w:color w:val="D4E4EA"/>
                <w:sz w:val="23"/>
              </w:rPr>
              <w:t>Senior Valuation Surveyor  ·  Land Economist  ·  Property &amp; Resettlement Specialist</w:t>
            </w:r>
          </w:p>
        </w:tc>
      </w:tr>
    </w:tbl>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026"/>
      </w:tblGrid>
      <w:tr>
        <w:tc>
          <w:tcPr>
            <w:tcW w:type="dxa" w:w="9026"/>
            <w:shd w:fill="C4A35A" w:val="clear"/>
            <w:tcMar>
              <w:top w:w="0" w:type="dxa"/>
              <w:left w:w="0" w:type="dxa"/>
              <w:bottom w:w="0" w:type="dxa"/>
              <w:right w:w="0" w:type="dxa"/>
            </w:tcMar>
          </w:tcPr>
          <w:p>
            <w:pPr>
              <w:spacing w:before="0" w:after="0" w:line="120" w:lineRule="auto"/>
            </w:pPr>
            <w:r>
              <w:rPr>
                <w:rFonts w:ascii="Calibri" w:hAnsi="Calibri" w:eastAsia="Calibri"/>
                <w:b w:val="0"/>
                <w:i w:val="0"/>
                <w:sz w:val="6"/>
              </w:rPr>
              <w:t xml:space="preserve"> </w:t>
            </w:r>
          </w:p>
        </w:tc>
      </w:tr>
    </w:tbl>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026"/>
      </w:tblGrid>
      <w:tr>
        <w:tc>
          <w:tcPr>
            <w:tcW w:type="dxa" w:w="9026"/>
            <w:tcMar>
              <w:top w:w="80" w:type="dxa"/>
              <w:left w:w="200" w:type="dxa"/>
              <w:bottom w:w="40" w:type="dxa"/>
              <w:right w:w="200" w:type="dxa"/>
            </w:tcMar>
          </w:tcPr>
          <w:p/>
          <w:p>
            <w:pPr>
              <w:spacing w:before="240" w:after="60" w:line="269" w:lineRule="auto"/>
              <w:jc w:val="left"/>
              <w:pBdr>
                <w:bottom w:val="single" w:sz="12" w:space="5" w:color="1A5A6E"/>
              </w:pBdr>
            </w:pPr>
            <w:r>
              <w:rPr>
                <w:rFonts w:ascii="Calibri" w:hAnsi="Calibri" w:eastAsia="Calibri"/>
                <w:b/>
                <w:i w:val="0"/>
                <w:color w:val="0F3D4C"/>
                <w:sz w:val="26"/>
              </w:rPr>
              <w:t>PROFESSIONAL PROFILE</w:t>
            </w:r>
          </w:p>
          <w:p>
            <w:pPr>
              <w:spacing w:before="40" w:after="80" w:line="269" w:lineRule="auto"/>
              <w:jc w:val="both"/>
            </w:pPr>
            <w:r>
              <w:rPr>
                <w:rFonts w:ascii="Calibri" w:hAnsi="Calibri" w:eastAsia="Calibri"/>
                <w:b w:val="0"/>
                <w:i w:val="0"/>
                <w:color w:val="2D3748"/>
                <w:sz w:val="22"/>
              </w:rPr>
              <w:t>Accomplished Land Economist and Graduate Valuation Surveyor with over five years of professional experience in property valuation, land acquisition, compensation assessment, Resettlement Action Plans (RAPs), and property management. Demonstrated expertise in supporting large-scale infrastructure, energy, mining, water, and transport projects across Uganda for government agencies, financial institutions, and private-sector clients.</w:t>
            </w:r>
          </w:p>
          <w:p>
            <w:pPr>
              <w:spacing w:before="40" w:after="80" w:line="269" w:lineRule="auto"/>
              <w:jc w:val="both"/>
            </w:pPr>
            <w:r>
              <w:rPr>
                <w:rFonts w:ascii="Calibri" w:hAnsi="Calibri" w:eastAsia="Calibri"/>
                <w:b w:val="0"/>
                <w:i w:val="0"/>
                <w:color w:val="2D3748"/>
                <w:sz w:val="22"/>
              </w:rPr>
              <w:t>Highly experienced in valuation methodologies, stakeholder engagement, community sensitisation, mortgage valuations, market analysis, and preparation of comprehensive valuation reports. A Graduate Member of the Institute of Surveyors of Uganda (ISU), committed to delivering professional, ethical, and data-driven valuation services that support sustainable development and investment.</w:t>
            </w:r>
          </w:p>
          <w:p>
            <w:pPr>
              <w:spacing w:before="240" w:after="60" w:line="269" w:lineRule="auto"/>
              <w:jc w:val="left"/>
              <w:pBdr>
                <w:bottom w:val="single" w:sz="12" w:space="5" w:color="1A5A6E"/>
              </w:pBdr>
            </w:pPr>
            <w:r>
              <w:rPr>
                <w:rFonts w:ascii="Calibri" w:hAnsi="Calibri" w:eastAsia="Calibri"/>
                <w:b/>
                <w:i w:val="0"/>
                <w:color w:val="0F3D4C"/>
                <w:sz w:val="26"/>
              </w:rPr>
              <w:t>CAREER HIGHLIGHTS</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026"/>
            </w:tblGrid>
            <w:tr>
              <w:tc>
                <w:tcPr>
                  <w:tcW w:type="dxa" w:w="9026"/>
                  <w:shd w:fill="E8F1F4" w:val="clear"/>
                  <w:tcMar>
                    <w:top w:w="60" w:type="dxa"/>
                    <w:left w:w="100" w:type="dxa"/>
                    <w:bottom w:w="50" w:type="dxa"/>
                    <w:right w:w="100" w:type="dxa"/>
                  </w:tcMar>
                </w:tcP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13"/>
                    <w:gridCol w:w="4513"/>
                  </w:tblGrid>
                  <w:tr>
                    <w:tc>
                      <w:tcPr>
                        <w:tcW w:type="dxa" w:w="4513"/>
                        <w:tcMar>
                          <w:top w:w="20" w:type="dxa"/>
                          <w:left w:w="40" w:type="dxa"/>
                          <w:bottom w:w="20" w:type="dxa"/>
                          <w:right w:w="60" w:type="dxa"/>
                        </w:tcMar>
                      </w:tcPr>
                      <w:p>
                        <w:pPr>
                          <w:spacing w:before="0" w:after="0" w:line="276" w:lineRule="auto"/>
                        </w:pPr>
                        <w:r/>
                        <w:r>
                          <w:rPr>
                            <w:rFonts w:ascii="Calibri" w:hAnsi="Calibri" w:eastAsia="Calibri"/>
                            <w:b w:val="0"/>
                            <w:i w:val="0"/>
                            <w:color w:val="1A5A6E"/>
                            <w:sz w:val="21"/>
                          </w:rPr>
                          <w:t>•  5+ years of professional valuation and land economics experience</w:t>
                        </w:r>
                      </w:p>
                    </w:tc>
                    <w:tc>
                      <w:tcPr>
                        <w:tcW w:type="dxa" w:w="4513"/>
                        <w:tcMar>
                          <w:top w:w="20" w:type="dxa"/>
                          <w:left w:w="40" w:type="dxa"/>
                          <w:bottom w:w="20" w:type="dxa"/>
                          <w:right w:w="60" w:type="dxa"/>
                        </w:tcMar>
                      </w:tcPr>
                      <w:p>
                        <w:pPr>
                          <w:spacing w:before="0" w:after="0" w:line="276" w:lineRule="auto"/>
                        </w:pPr>
                        <w:r/>
                        <w:r>
                          <w:rPr>
                            <w:rFonts w:ascii="Calibri" w:hAnsi="Calibri" w:eastAsia="Calibri"/>
                            <w:b w:val="0"/>
                            <w:i w:val="0"/>
                            <w:color w:val="1A5A6E"/>
                            <w:sz w:val="21"/>
                          </w:rPr>
                          <w:t>•  Worked on major national infrastructure, energy and mining projects</w:t>
                        </w:r>
                      </w:p>
                    </w:tc>
                  </w:tr>
                  <w:tr>
                    <w:tc>
                      <w:tcPr>
                        <w:tcW w:type="dxa" w:w="4513"/>
                        <w:tcMar>
                          <w:top w:w="20" w:type="dxa"/>
                          <w:left w:w="40" w:type="dxa"/>
                          <w:bottom w:w="20" w:type="dxa"/>
                          <w:right w:w="60" w:type="dxa"/>
                        </w:tcMar>
                      </w:tcPr>
                      <w:p>
                        <w:pPr>
                          <w:spacing w:before="0" w:after="0" w:line="276" w:lineRule="auto"/>
                        </w:pPr>
                        <w:r/>
                        <w:r>
                          <w:rPr>
                            <w:rFonts w:ascii="Calibri" w:hAnsi="Calibri" w:eastAsia="Calibri"/>
                            <w:b w:val="0"/>
                            <w:i w:val="0"/>
                            <w:color w:val="1A5A6E"/>
                            <w:sz w:val="21"/>
                          </w:rPr>
                          <w:t>•  Graduate Member, Institute of Surveyors of Uganda (ISU)</w:t>
                        </w:r>
                      </w:p>
                    </w:tc>
                    <w:tc>
                      <w:tcPr>
                        <w:tcW w:type="dxa" w:w="4513"/>
                        <w:tcMar>
                          <w:top w:w="20" w:type="dxa"/>
                          <w:left w:w="40" w:type="dxa"/>
                          <w:bottom w:w="20" w:type="dxa"/>
                          <w:right w:w="60" w:type="dxa"/>
                        </w:tcMar>
                      </w:tcPr>
                      <w:p>
                        <w:pPr>
                          <w:spacing w:before="0" w:after="0" w:line="276" w:lineRule="auto"/>
                        </w:pPr>
                        <w:r/>
                        <w:r>
                          <w:rPr>
                            <w:rFonts w:ascii="Calibri" w:hAnsi="Calibri" w:eastAsia="Calibri"/>
                            <w:b w:val="0"/>
                            <w:i w:val="0"/>
                            <w:color w:val="1A5A6E"/>
                            <w:sz w:val="21"/>
                          </w:rPr>
                          <w:t>•  Valuation assignments for leading commercial banks in Uganda</w:t>
                        </w:r>
                      </w:p>
                    </w:tc>
                  </w:tr>
                  <w:tr>
                    <w:tc>
                      <w:tcPr>
                        <w:tcW w:type="dxa" w:w="4513"/>
                        <w:tcMar>
                          <w:top w:w="20" w:type="dxa"/>
                          <w:left w:w="40" w:type="dxa"/>
                          <w:bottom w:w="20" w:type="dxa"/>
                          <w:right w:w="60" w:type="dxa"/>
                        </w:tcMar>
                      </w:tcPr>
                      <w:p>
                        <w:pPr>
                          <w:spacing w:before="0" w:after="0" w:line="276" w:lineRule="auto"/>
                        </w:pPr>
                        <w:r/>
                        <w:r>
                          <w:rPr>
                            <w:rFonts w:ascii="Calibri" w:hAnsi="Calibri" w:eastAsia="Calibri"/>
                            <w:b w:val="0"/>
                            <w:i w:val="0"/>
                            <w:color w:val="1A5A6E"/>
                            <w:sz w:val="21"/>
                          </w:rPr>
                          <w:t>•  Extensive experience in Resettlement Action Plans (RAPs)</w:t>
                        </w:r>
                      </w:p>
                    </w:tc>
                    <w:tc>
                      <w:tcPr>
                        <w:tcW w:type="dxa" w:w="4513"/>
                        <w:tcMar>
                          <w:top w:w="20" w:type="dxa"/>
                          <w:left w:w="40" w:type="dxa"/>
                          <w:bottom w:w="20" w:type="dxa"/>
                          <w:right w:w="60" w:type="dxa"/>
                        </w:tcMar>
                      </w:tcPr>
                      <w:p>
                        <w:pPr>
                          <w:spacing w:before="0" w:after="0" w:line="276" w:lineRule="auto"/>
                        </w:pPr>
                        <w:r/>
                        <w:r>
                          <w:rPr>
                            <w:rFonts w:ascii="Calibri" w:hAnsi="Calibri" w:eastAsia="Calibri"/>
                            <w:b w:val="0"/>
                            <w:i w:val="0"/>
                            <w:color w:val="1A5A6E"/>
                            <w:sz w:val="21"/>
                          </w:rPr>
                          <w:t>•  Strong stakeholder engagement and community mobilisation skills</w:t>
                        </w:r>
                      </w:p>
                    </w:tc>
                  </w:tr>
                  <w:tr>
                    <w:tc>
                      <w:tcPr>
                        <w:tcW w:type="dxa" w:w="4513"/>
                        <w:tcMar>
                          <w:top w:w="20" w:type="dxa"/>
                          <w:left w:w="40" w:type="dxa"/>
                          <w:bottom w:w="20" w:type="dxa"/>
                          <w:right w:w="60" w:type="dxa"/>
                        </w:tcMar>
                      </w:tcPr>
                      <w:p>
                        <w:pPr>
                          <w:spacing w:before="0" w:after="0" w:line="276" w:lineRule="auto"/>
                        </w:pPr>
                        <w:r/>
                        <w:r>
                          <w:rPr>
                            <w:rFonts w:ascii="Calibri" w:hAnsi="Calibri" w:eastAsia="Calibri"/>
                            <w:b w:val="0"/>
                            <w:i w:val="0"/>
                            <w:color w:val="1A5A6E"/>
                            <w:sz w:val="21"/>
                          </w:rPr>
                          <w:t>•  Property valuation for mortgage, compensation and acquisition</w:t>
                        </w:r>
                      </w:p>
                    </w:tc>
                    <w:tc>
                      <w:tcPr>
                        <w:tcW w:type="dxa" w:w="4513"/>
                        <w:tcMar>
                          <w:top w:w="20" w:type="dxa"/>
                          <w:left w:w="40" w:type="dxa"/>
                          <w:bottom w:w="20" w:type="dxa"/>
                          <w:right w:w="60" w:type="dxa"/>
                        </w:tcMar>
                      </w:tcPr>
                      <w:p>
                        <w:pPr>
                          <w:spacing w:before="0" w:after="0" w:line="276" w:lineRule="auto"/>
                        </w:pPr>
                        <w:r/>
                      </w:p>
                    </w:tc>
                  </w:tr>
                </w:tbl>
                <w:p/>
              </w:tc>
            </w:tr>
          </w:tbl>
          <w:p/>
          <w:p>
            <w:pPr>
              <w:spacing w:before="240" w:after="60" w:line="269" w:lineRule="auto"/>
              <w:jc w:val="left"/>
              <w:pBdr>
                <w:bottom w:val="single" w:sz="12" w:space="5" w:color="1A5A6E"/>
              </w:pBdr>
            </w:pPr>
            <w:r>
              <w:rPr>
                <w:rFonts w:ascii="Calibri" w:hAnsi="Calibri" w:eastAsia="Calibri"/>
                <w:b/>
                <w:i w:val="0"/>
                <w:color w:val="0F3D4C"/>
                <w:sz w:val="26"/>
              </w:rPr>
              <w:t>PROFESSIONAL EXPERIENCE</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6520"/>
              <w:gridCol w:w="3118"/>
            </w:tblGrid>
            <w:tr>
              <w:tc>
                <w:tcPr>
                  <w:tcW w:type="dxa" w:w="4513"/>
                  <w:tcMar>
                    <w:top w:w="40" w:type="dxa"/>
                    <w:left w:w="0" w:type="dxa"/>
                    <w:bottom w:w="0" w:type="dxa"/>
                    <w:right w:w="40" w:type="dxa"/>
                  </w:tcMar>
                </w:tcPr>
                <w:p>
                  <w:pPr>
                    <w:spacing w:before="0" w:after="0" w:line="252" w:lineRule="auto"/>
                  </w:pPr>
                  <w:r>
                    <w:rPr>
                      <w:rFonts w:ascii="Calibri" w:hAnsi="Calibri" w:eastAsia="Calibri"/>
                      <w:b/>
                      <w:i w:val="0"/>
                      <w:color w:val="0F3D4C"/>
                      <w:sz w:val="25"/>
                    </w:rPr>
                    <w:t>Valuation Surveyor</w:t>
                  </w:r>
                </w:p>
              </w:tc>
              <w:tc>
                <w:tcPr>
                  <w:tcW w:type="dxa" w:w="4513"/>
                  <w:tcMar>
                    <w:top w:w="40" w:type="dxa"/>
                    <w:left w:w="0" w:type="dxa"/>
                    <w:bottom w:w="0" w:type="dxa"/>
                    <w:right w:w="0" w:type="dxa"/>
                  </w:tcMar>
                </w:tcPr>
                <w:p>
                  <w:pPr>
                    <w:spacing w:before="0" w:after="0" w:line="252" w:lineRule="auto"/>
                    <w:jc w:val="right"/>
                  </w:pPr>
                  <w:r>
                    <w:rPr>
                      <w:rFonts w:ascii="Calibri" w:hAnsi="Calibri" w:eastAsia="Calibri"/>
                      <w:b w:val="0"/>
                      <w:i w:val="0"/>
                      <w:color w:val="1A5A6E"/>
                      <w:sz w:val="21"/>
                    </w:rPr>
                    <w:t>Aug 2023 - Present</w:t>
                  </w:r>
                </w:p>
              </w:tc>
            </w:tr>
          </w:tbl>
          <w:p/>
          <w:p>
            <w:pPr>
              <w:spacing w:before="0" w:after="40" w:line="269" w:lineRule="auto"/>
              <w:jc w:val="left"/>
            </w:pPr>
            <w:r>
              <w:rPr>
                <w:rFonts w:ascii="Calibri" w:hAnsi="Calibri" w:eastAsia="Calibri"/>
                <w:b w:val="0"/>
                <w:i/>
                <w:color w:val="1A5A6E"/>
                <w:sz w:val="22"/>
              </w:rPr>
              <w:t>COVAE (U) Ltd</w:t>
            </w:r>
          </w:p>
          <w:p>
            <w:pPr>
              <w:spacing w:before="0" w:after="20" w:line="269" w:lineRule="auto"/>
              <w:ind w:left="198"/>
              <w:jc w:val="left"/>
            </w:pPr>
            <w:r>
              <w:rPr>
                <w:rFonts w:ascii="Calibri" w:hAnsi="Calibri" w:eastAsia="Calibri"/>
                <w:b w:val="0"/>
                <w:i w:val="0"/>
                <w:color w:val="5A6A75"/>
                <w:sz w:val="22"/>
              </w:rPr>
              <w:t>•  Lead valuation assignments for mortgage, compensation and acquisition purposes.</w:t>
            </w:r>
          </w:p>
          <w:p>
            <w:pPr>
              <w:spacing w:before="0" w:after="20" w:line="269" w:lineRule="auto"/>
              <w:ind w:left="198"/>
              <w:jc w:val="left"/>
            </w:pPr>
            <w:r>
              <w:rPr>
                <w:rFonts w:ascii="Calibri" w:hAnsi="Calibri" w:eastAsia="Calibri"/>
                <w:b w:val="0"/>
                <w:i w:val="0"/>
                <w:color w:val="5A6A75"/>
                <w:sz w:val="22"/>
              </w:rPr>
              <w:t>•  Prepare valuation methodologies and comprehensive valuation reports.</w:t>
            </w:r>
          </w:p>
          <w:p>
            <w:pPr>
              <w:spacing w:before="0" w:after="20" w:line="269" w:lineRule="auto"/>
              <w:ind w:left="198"/>
              <w:jc w:val="left"/>
            </w:pPr>
            <w:r>
              <w:rPr>
                <w:rFonts w:ascii="Calibri" w:hAnsi="Calibri" w:eastAsia="Calibri"/>
                <w:b w:val="0"/>
                <w:i w:val="0"/>
                <w:color w:val="5A6A75"/>
                <w:sz w:val="22"/>
              </w:rPr>
              <w:t>•  Conduct market research and neighbourhood analysis.</w:t>
            </w:r>
          </w:p>
          <w:p>
            <w:pPr>
              <w:spacing w:before="0" w:after="20" w:line="269" w:lineRule="auto"/>
              <w:ind w:left="198"/>
              <w:jc w:val="left"/>
            </w:pPr>
            <w:r>
              <w:rPr>
                <w:rFonts w:ascii="Calibri" w:hAnsi="Calibri" w:eastAsia="Calibri"/>
                <w:b w:val="0"/>
                <w:i w:val="0"/>
                <w:color w:val="5A6A75"/>
                <w:sz w:val="22"/>
              </w:rPr>
              <w:t>•  Support Resettlement Action Plan implementation for public infrastructure projects.</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6520"/>
              <w:gridCol w:w="3118"/>
            </w:tblGrid>
            <w:tr>
              <w:tc>
                <w:tcPr>
                  <w:tcW w:type="dxa" w:w="4513"/>
                  <w:tcMar>
                    <w:top w:w="40" w:type="dxa"/>
                    <w:left w:w="0" w:type="dxa"/>
                    <w:bottom w:w="0" w:type="dxa"/>
                    <w:right w:w="40" w:type="dxa"/>
                  </w:tcMar>
                </w:tcPr>
                <w:p>
                  <w:pPr>
                    <w:spacing w:before="0" w:after="0" w:line="252" w:lineRule="auto"/>
                  </w:pPr>
                  <w:r>
                    <w:rPr>
                      <w:rFonts w:ascii="Calibri" w:hAnsi="Calibri" w:eastAsia="Calibri"/>
                      <w:b/>
                      <w:i w:val="0"/>
                      <w:color w:val="0F3D4C"/>
                      <w:sz w:val="25"/>
                    </w:rPr>
                    <w:t>Valuer</w:t>
                  </w:r>
                </w:p>
              </w:tc>
              <w:tc>
                <w:tcPr>
                  <w:tcW w:type="dxa" w:w="4513"/>
                  <w:tcMar>
                    <w:top w:w="40" w:type="dxa"/>
                    <w:left w:w="0" w:type="dxa"/>
                    <w:bottom w:w="0" w:type="dxa"/>
                    <w:right w:w="0" w:type="dxa"/>
                  </w:tcMar>
                </w:tcPr>
                <w:p>
                  <w:pPr>
                    <w:spacing w:before="0" w:after="0" w:line="252" w:lineRule="auto"/>
                    <w:jc w:val="right"/>
                  </w:pPr>
                  <w:r>
                    <w:rPr>
                      <w:rFonts w:ascii="Calibri" w:hAnsi="Calibri" w:eastAsia="Calibri"/>
                      <w:b w:val="0"/>
                      <w:i w:val="0"/>
                      <w:color w:val="1A5A6E"/>
                      <w:sz w:val="21"/>
                    </w:rPr>
                    <w:t>Sept 2021 - Jul 2023</w:t>
                  </w:r>
                </w:p>
              </w:tc>
            </w:tr>
          </w:tbl>
          <w:p/>
          <w:p>
            <w:pPr>
              <w:spacing w:before="0" w:after="40" w:line="269" w:lineRule="auto"/>
              <w:jc w:val="left"/>
            </w:pPr>
            <w:r>
              <w:rPr>
                <w:rFonts w:ascii="Calibri" w:hAnsi="Calibri" w:eastAsia="Calibri"/>
                <w:b w:val="0"/>
                <w:i/>
                <w:color w:val="1A5A6E"/>
                <w:sz w:val="22"/>
              </w:rPr>
              <w:t>GMT Consults Ltd</w:t>
            </w:r>
          </w:p>
          <w:p>
            <w:pPr>
              <w:spacing w:before="0" w:after="20" w:line="269" w:lineRule="auto"/>
              <w:ind w:left="198"/>
              <w:jc w:val="left"/>
            </w:pPr>
            <w:r>
              <w:rPr>
                <w:rFonts w:ascii="Calibri" w:hAnsi="Calibri" w:eastAsia="Calibri"/>
                <w:b w:val="0"/>
                <w:i w:val="0"/>
                <w:color w:val="5A6A75"/>
                <w:sz w:val="22"/>
              </w:rPr>
              <w:t>•  Delivered RAP valuation assignments for road, water and electricity transmission projects.</w:t>
            </w:r>
          </w:p>
          <w:p>
            <w:pPr>
              <w:spacing w:before="0" w:after="20" w:line="269" w:lineRule="auto"/>
              <w:ind w:left="198"/>
              <w:jc w:val="left"/>
            </w:pPr>
            <w:r>
              <w:rPr>
                <w:rFonts w:ascii="Calibri" w:hAnsi="Calibri" w:eastAsia="Calibri"/>
                <w:b w:val="0"/>
                <w:i w:val="0"/>
                <w:color w:val="5A6A75"/>
                <w:sz w:val="22"/>
              </w:rPr>
              <w:t>•  Coordinated stakeholder consultations, community engagement and grievance management.</w:t>
            </w:r>
          </w:p>
          <w:p>
            <w:pPr>
              <w:spacing w:before="0" w:after="20" w:line="269" w:lineRule="auto"/>
              <w:ind w:left="198"/>
              <w:jc w:val="left"/>
            </w:pPr>
            <w:r>
              <w:rPr>
                <w:rFonts w:ascii="Calibri" w:hAnsi="Calibri" w:eastAsia="Calibri"/>
                <w:b w:val="0"/>
                <w:i w:val="0"/>
                <w:color w:val="5A6A75"/>
                <w:sz w:val="22"/>
              </w:rPr>
              <w:t>•  Managed valuation data collection, verification and reporting.</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6520"/>
              <w:gridCol w:w="3118"/>
            </w:tblGrid>
            <w:tr>
              <w:tc>
                <w:tcPr>
                  <w:tcW w:type="dxa" w:w="4513"/>
                  <w:tcMar>
                    <w:top w:w="40" w:type="dxa"/>
                    <w:left w:w="0" w:type="dxa"/>
                    <w:bottom w:w="0" w:type="dxa"/>
                    <w:right w:w="40" w:type="dxa"/>
                  </w:tcMar>
                </w:tcPr>
                <w:p>
                  <w:pPr>
                    <w:spacing w:before="0" w:after="0" w:line="252" w:lineRule="auto"/>
                  </w:pPr>
                  <w:r>
                    <w:rPr>
                      <w:rFonts w:ascii="Calibri" w:hAnsi="Calibri" w:eastAsia="Calibri"/>
                      <w:b/>
                      <w:i w:val="0"/>
                      <w:color w:val="0F3D4C"/>
                      <w:sz w:val="25"/>
                    </w:rPr>
                    <w:t>Valuer</w:t>
                  </w:r>
                </w:p>
              </w:tc>
              <w:tc>
                <w:tcPr>
                  <w:tcW w:type="dxa" w:w="4513"/>
                  <w:tcMar>
                    <w:top w:w="40" w:type="dxa"/>
                    <w:left w:w="0" w:type="dxa"/>
                    <w:bottom w:w="0" w:type="dxa"/>
                    <w:right w:w="0" w:type="dxa"/>
                  </w:tcMar>
                </w:tcPr>
                <w:p>
                  <w:pPr>
                    <w:spacing w:before="0" w:after="0" w:line="252" w:lineRule="auto"/>
                    <w:jc w:val="right"/>
                  </w:pPr>
                  <w:r>
                    <w:rPr>
                      <w:rFonts w:ascii="Calibri" w:hAnsi="Calibri" w:eastAsia="Calibri"/>
                      <w:b w:val="0"/>
                      <w:i w:val="0"/>
                      <w:color w:val="1A5A6E"/>
                      <w:sz w:val="21"/>
                    </w:rPr>
                    <w:t>May 2022 - Jul 2022</w:t>
                  </w:r>
                </w:p>
              </w:tc>
            </w:tr>
          </w:tbl>
          <w:p/>
          <w:p>
            <w:pPr>
              <w:spacing w:before="0" w:after="40" w:line="269" w:lineRule="auto"/>
              <w:jc w:val="left"/>
            </w:pPr>
            <w:r>
              <w:rPr>
                <w:rFonts w:ascii="Calibri" w:hAnsi="Calibri" w:eastAsia="Calibri"/>
                <w:b w:val="0"/>
                <w:i/>
                <w:color w:val="1A5A6E"/>
                <w:sz w:val="22"/>
              </w:rPr>
              <w:t>Ministry of Energy &amp; Mineral Development</w:t>
            </w:r>
          </w:p>
          <w:p>
            <w:pPr>
              <w:spacing w:before="0" w:after="20" w:line="269" w:lineRule="auto"/>
              <w:ind w:left="198"/>
              <w:jc w:val="left"/>
            </w:pPr>
            <w:r>
              <w:rPr>
                <w:rFonts w:ascii="Calibri" w:hAnsi="Calibri" w:eastAsia="Calibri"/>
                <w:b w:val="0"/>
                <w:i w:val="0"/>
                <w:color w:val="5A6A75"/>
                <w:sz w:val="22"/>
              </w:rPr>
              <w:t>•  Negotiated wayleaves for rural electrification projects.</w:t>
            </w:r>
          </w:p>
          <w:p>
            <w:pPr>
              <w:spacing w:before="0" w:after="20" w:line="269" w:lineRule="auto"/>
              <w:ind w:left="198"/>
              <w:jc w:val="left"/>
            </w:pPr>
            <w:r>
              <w:rPr>
                <w:rFonts w:ascii="Calibri" w:hAnsi="Calibri" w:eastAsia="Calibri"/>
                <w:b w:val="0"/>
                <w:i w:val="0"/>
                <w:color w:val="5A6A75"/>
                <w:sz w:val="22"/>
              </w:rPr>
              <w:t>•  Managed compensation assessments and stakeholder engagement.</w:t>
            </w:r>
          </w:p>
          <w:p>
            <w:pPr>
              <w:spacing w:before="0" w:after="20" w:line="269" w:lineRule="auto"/>
              <w:ind w:left="198"/>
              <w:jc w:val="left"/>
            </w:pPr>
            <w:r>
              <w:rPr>
                <w:rFonts w:ascii="Calibri" w:hAnsi="Calibri" w:eastAsia="Calibri"/>
                <w:b w:val="0"/>
                <w:i w:val="0"/>
                <w:color w:val="5A6A75"/>
                <w:sz w:val="22"/>
              </w:rPr>
              <w:t>•  Supported electricity transmission corridor development.</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6520"/>
              <w:gridCol w:w="3118"/>
            </w:tblGrid>
            <w:tr>
              <w:tc>
                <w:tcPr>
                  <w:tcW w:type="dxa" w:w="4513"/>
                  <w:tcMar>
                    <w:top w:w="40" w:type="dxa"/>
                    <w:left w:w="0" w:type="dxa"/>
                    <w:bottom w:w="0" w:type="dxa"/>
                    <w:right w:w="40" w:type="dxa"/>
                  </w:tcMar>
                </w:tcPr>
                <w:p>
                  <w:pPr>
                    <w:spacing w:before="0" w:after="0" w:line="252" w:lineRule="auto"/>
                  </w:pPr>
                  <w:r>
                    <w:rPr>
                      <w:rFonts w:ascii="Calibri" w:hAnsi="Calibri" w:eastAsia="Calibri"/>
                      <w:b/>
                      <w:i w:val="0"/>
                      <w:color w:val="0F3D4C"/>
                      <w:sz w:val="25"/>
                    </w:rPr>
                    <w:t>Wayleave Liaison Officer</w:t>
                  </w:r>
                </w:p>
              </w:tc>
              <w:tc>
                <w:tcPr>
                  <w:tcW w:type="dxa" w:w="4513"/>
                  <w:tcMar>
                    <w:top w:w="40" w:type="dxa"/>
                    <w:left w:w="0" w:type="dxa"/>
                    <w:bottom w:w="0" w:type="dxa"/>
                    <w:right w:w="0" w:type="dxa"/>
                  </w:tcMar>
                </w:tcPr>
                <w:p>
                  <w:pPr>
                    <w:spacing w:before="0" w:after="0" w:line="252" w:lineRule="auto"/>
                    <w:jc w:val="right"/>
                  </w:pPr>
                  <w:r>
                    <w:rPr>
                      <w:rFonts w:ascii="Calibri" w:hAnsi="Calibri" w:eastAsia="Calibri"/>
                      <w:b w:val="0"/>
                      <w:i w:val="0"/>
                      <w:color w:val="1A5A6E"/>
                      <w:sz w:val="21"/>
                    </w:rPr>
                    <w:t>May 2021 - Sept 2021</w:t>
                  </w:r>
                </w:p>
              </w:tc>
            </w:tr>
          </w:tbl>
          <w:p/>
          <w:p>
            <w:pPr>
              <w:spacing w:before="0" w:after="40" w:line="269" w:lineRule="auto"/>
              <w:jc w:val="left"/>
            </w:pPr>
            <w:r>
              <w:rPr>
                <w:rFonts w:ascii="Calibri" w:hAnsi="Calibri" w:eastAsia="Calibri"/>
                <w:b w:val="0"/>
                <w:i/>
                <w:color w:val="1A5A6E"/>
                <w:sz w:val="22"/>
              </w:rPr>
              <w:t>INTEC-GOPA International Energy Consultants</w:t>
            </w:r>
          </w:p>
          <w:p>
            <w:pPr>
              <w:spacing w:before="0" w:after="20" w:line="269" w:lineRule="auto"/>
              <w:ind w:left="198"/>
              <w:jc w:val="left"/>
            </w:pPr>
            <w:r>
              <w:rPr>
                <w:rFonts w:ascii="Calibri" w:hAnsi="Calibri" w:eastAsia="Calibri"/>
                <w:b w:val="0"/>
                <w:i w:val="0"/>
                <w:color w:val="5A6A75"/>
                <w:sz w:val="22"/>
              </w:rPr>
              <w:t>•  Coordinated landowner negotiations and compensation processes.</w:t>
            </w:r>
          </w:p>
          <w:p>
            <w:pPr>
              <w:spacing w:before="0" w:after="20" w:line="269" w:lineRule="auto"/>
              <w:ind w:left="198"/>
              <w:jc w:val="left"/>
            </w:pPr>
            <w:r>
              <w:rPr>
                <w:rFonts w:ascii="Calibri" w:hAnsi="Calibri" w:eastAsia="Calibri"/>
                <w:b w:val="0"/>
                <w:i w:val="0"/>
                <w:color w:val="5A6A75"/>
                <w:sz w:val="22"/>
              </w:rPr>
              <w:t>•  Facilitated access agreements and community liaison for power distribution projects.</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6520"/>
              <w:gridCol w:w="3118"/>
            </w:tblGrid>
            <w:tr>
              <w:tc>
                <w:tcPr>
                  <w:tcW w:type="dxa" w:w="4513"/>
                  <w:tcMar>
                    <w:top w:w="40" w:type="dxa"/>
                    <w:left w:w="0" w:type="dxa"/>
                    <w:bottom w:w="0" w:type="dxa"/>
                    <w:right w:w="40" w:type="dxa"/>
                  </w:tcMar>
                </w:tcPr>
                <w:p>
                  <w:pPr>
                    <w:spacing w:before="0" w:after="0" w:line="252" w:lineRule="auto"/>
                  </w:pPr>
                  <w:r>
                    <w:rPr>
                      <w:rFonts w:ascii="Calibri" w:hAnsi="Calibri" w:eastAsia="Calibri"/>
                      <w:b/>
                      <w:i w:val="0"/>
                      <w:color w:val="0F3D4C"/>
                      <w:sz w:val="25"/>
                    </w:rPr>
                    <w:t>Valuation Surveyor</w:t>
                  </w:r>
                </w:p>
              </w:tc>
              <w:tc>
                <w:tcPr>
                  <w:tcW w:type="dxa" w:w="4513"/>
                  <w:tcMar>
                    <w:top w:w="40" w:type="dxa"/>
                    <w:left w:w="0" w:type="dxa"/>
                    <w:bottom w:w="0" w:type="dxa"/>
                    <w:right w:w="0" w:type="dxa"/>
                  </w:tcMar>
                </w:tcPr>
                <w:p>
                  <w:pPr>
                    <w:spacing w:before="0" w:after="0" w:line="252" w:lineRule="auto"/>
                    <w:jc w:val="right"/>
                  </w:pPr>
                  <w:r>
                    <w:rPr>
                      <w:rFonts w:ascii="Calibri" w:hAnsi="Calibri" w:eastAsia="Calibri"/>
                      <w:b w:val="0"/>
                      <w:i w:val="0"/>
                      <w:color w:val="1A5A6E"/>
                      <w:sz w:val="21"/>
                    </w:rPr>
                    <w:t>May 2018 - Apr 2020</w:t>
                  </w:r>
                </w:p>
              </w:tc>
            </w:tr>
          </w:tbl>
          <w:p/>
          <w:p>
            <w:pPr>
              <w:spacing w:before="0" w:after="40" w:line="269" w:lineRule="auto"/>
              <w:jc w:val="left"/>
            </w:pPr>
            <w:r>
              <w:rPr>
                <w:rFonts w:ascii="Calibri" w:hAnsi="Calibri" w:eastAsia="Calibri"/>
                <w:b w:val="0"/>
                <w:i/>
                <w:color w:val="1A5A6E"/>
                <w:sz w:val="22"/>
              </w:rPr>
              <w:t>COVAE (U) Ltd</w:t>
            </w:r>
          </w:p>
          <w:p>
            <w:pPr>
              <w:spacing w:before="0" w:after="20" w:line="269" w:lineRule="auto"/>
              <w:ind w:left="198"/>
              <w:jc w:val="left"/>
            </w:pPr>
            <w:r>
              <w:rPr>
                <w:rFonts w:ascii="Calibri" w:hAnsi="Calibri" w:eastAsia="Calibri"/>
                <w:b w:val="0"/>
                <w:i w:val="0"/>
                <w:color w:val="5A6A75"/>
                <w:sz w:val="22"/>
              </w:rPr>
              <w:t>•  Conducted mortgage, compensation and property valuations.</w:t>
            </w:r>
          </w:p>
          <w:p>
            <w:pPr>
              <w:spacing w:before="0" w:after="20" w:line="269" w:lineRule="auto"/>
              <w:ind w:left="198"/>
              <w:jc w:val="left"/>
            </w:pPr>
            <w:r>
              <w:rPr>
                <w:rFonts w:ascii="Calibri" w:hAnsi="Calibri" w:eastAsia="Calibri"/>
                <w:b w:val="0"/>
                <w:i w:val="0"/>
                <w:color w:val="5A6A75"/>
                <w:sz w:val="22"/>
              </w:rPr>
              <w:t>•  Prepared valuation reports for commercial banks, private clients and government projects.</w:t>
            </w:r>
          </w:p>
          <w:p>
            <w:pPr>
              <w:spacing w:before="160" w:after="40" w:line="269" w:lineRule="auto"/>
              <w:jc w:val="left"/>
            </w:pPr>
            <w:r>
              <w:rPr>
                <w:rFonts w:ascii="Calibri" w:hAnsi="Calibri" w:eastAsia="Calibri"/>
                <w:b/>
                <w:i w:val="0"/>
                <w:color w:val="0F3D4C"/>
                <w:sz w:val="23"/>
              </w:rPr>
              <w:t>Earlier Experience</w:t>
            </w:r>
          </w:p>
          <w:p>
            <w:pPr>
              <w:spacing w:before="0" w:after="20" w:line="269" w:lineRule="auto"/>
              <w:ind w:left="198"/>
              <w:jc w:val="left"/>
            </w:pPr>
            <w:r>
              <w:rPr>
                <w:rFonts w:ascii="Calibri" w:hAnsi="Calibri" w:eastAsia="Calibri"/>
                <w:b w:val="0"/>
                <w:i w:val="0"/>
                <w:color w:val="5A6A75"/>
                <w:sz w:val="22"/>
              </w:rPr>
              <w:t>•  Intern Valuer - Kampala Capital City Authority</w:t>
            </w:r>
          </w:p>
          <w:p>
            <w:pPr>
              <w:spacing w:before="0" w:after="20" w:line="269" w:lineRule="auto"/>
              <w:ind w:left="198"/>
              <w:jc w:val="left"/>
            </w:pPr>
            <w:r>
              <w:rPr>
                <w:rFonts w:ascii="Calibri" w:hAnsi="Calibri" w:eastAsia="Calibri"/>
                <w:b w:val="0"/>
                <w:i w:val="0"/>
                <w:color w:val="5A6A75"/>
                <w:sz w:val="22"/>
              </w:rPr>
              <w:t>•  Intern Valuer - Peak Partners Property Valuers &amp; Surveyors</w:t>
            </w:r>
          </w:p>
          <w:p>
            <w:pPr>
              <w:spacing w:before="240" w:after="60" w:line="269" w:lineRule="auto"/>
              <w:jc w:val="left"/>
              <w:pBdr>
                <w:bottom w:val="single" w:sz="12" w:space="5" w:color="1A5A6E"/>
              </w:pBdr>
            </w:pPr>
            <w:r>
              <w:rPr>
                <w:rFonts w:ascii="Calibri" w:hAnsi="Calibri" w:eastAsia="Calibri"/>
                <w:b/>
                <w:i w:val="0"/>
                <w:color w:val="0F3D4C"/>
                <w:sz w:val="26"/>
              </w:rPr>
              <w:t>EDUCATION &amp; MEMBERSHIP</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13"/>
              <w:gridCol w:w="4513"/>
            </w:tblGrid>
            <w:tr>
              <w:tc>
                <w:tcPr>
                  <w:tcW w:type="dxa" w:w="4513"/>
                  <w:tcMar>
                    <w:top w:w="20" w:type="dxa"/>
                    <w:left w:w="0" w:type="dxa"/>
                    <w:bottom w:w="20" w:type="dxa"/>
                    <w:right w:w="80" w:type="dxa"/>
                  </w:tcMar>
                </w:tcPr>
                <w:p>
                  <w:pPr>
                    <w:spacing w:before="0" w:after="0" w:line="264" w:lineRule="auto"/>
                  </w:pPr>
                  <w:r/>
                  <w:r>
                    <w:rPr>
                      <w:rFonts w:ascii="Calibri" w:hAnsi="Calibri" w:eastAsia="Calibri"/>
                      <w:b/>
                      <w:i w:val="0"/>
                      <w:color w:val="0F3D4C"/>
                      <w:sz w:val="23"/>
                    </w:rPr>
                    <w:t>Bachelor of Science (Hons) in Land Economics</w:t>
                  </w:r>
                </w:p>
              </w:tc>
              <w:tc>
                <w:tcPr>
                  <w:tcW w:type="dxa" w:w="4513"/>
                  <w:tcMar>
                    <w:top w:w="20" w:type="dxa"/>
                    <w:left w:w="0" w:type="dxa"/>
                    <w:bottom w:w="20" w:type="dxa"/>
                    <w:right w:w="80" w:type="dxa"/>
                  </w:tcMar>
                </w:tcPr>
                <w:p>
                  <w:pPr>
                    <w:spacing w:before="0" w:after="0" w:line="264" w:lineRule="auto"/>
                  </w:pPr>
                  <w:r/>
                  <w:r>
                    <w:rPr>
                      <w:rFonts w:ascii="Calibri" w:hAnsi="Calibri" w:eastAsia="Calibri"/>
                      <w:b/>
                      <w:i w:val="0"/>
                      <w:color w:val="0F3D4C"/>
                      <w:sz w:val="23"/>
                    </w:rPr>
                    <w:t>Graduate Member, ISU</w:t>
                  </w:r>
                </w:p>
              </w:tc>
            </w:tr>
            <w:tr>
              <w:tc>
                <w:tcPr>
                  <w:tcW w:type="dxa" w:w="4513"/>
                  <w:tcMar>
                    <w:top w:w="20" w:type="dxa"/>
                    <w:left w:w="0" w:type="dxa"/>
                    <w:bottom w:w="20" w:type="dxa"/>
                    <w:right w:w="80" w:type="dxa"/>
                  </w:tcMar>
                </w:tcPr>
                <w:p>
                  <w:pPr>
                    <w:spacing w:before="0" w:after="0" w:line="264" w:lineRule="auto"/>
                  </w:pPr>
                  <w:r/>
                  <w:r>
                    <w:rPr>
                      <w:rFonts w:ascii="Calibri" w:hAnsi="Calibri" w:eastAsia="Calibri"/>
                      <w:b w:val="0"/>
                      <w:i/>
                      <w:color w:val="1A5A6E"/>
                      <w:sz w:val="22"/>
                    </w:rPr>
                    <w:t>Makerere University</w:t>
                  </w:r>
                </w:p>
              </w:tc>
              <w:tc>
                <w:tcPr>
                  <w:tcW w:type="dxa" w:w="4513"/>
                  <w:tcMar>
                    <w:top w:w="20" w:type="dxa"/>
                    <w:left w:w="0" w:type="dxa"/>
                    <w:bottom w:w="20" w:type="dxa"/>
                    <w:right w:w="80" w:type="dxa"/>
                  </w:tcMar>
                </w:tcPr>
                <w:p>
                  <w:pPr>
                    <w:spacing w:before="0" w:after="0" w:line="264" w:lineRule="auto"/>
                  </w:pPr>
                  <w:r/>
                  <w:r>
                    <w:rPr>
                      <w:rFonts w:ascii="Calibri" w:hAnsi="Calibri" w:eastAsia="Calibri"/>
                      <w:b w:val="0"/>
                      <w:i/>
                      <w:color w:val="1A5A6E"/>
                      <w:sz w:val="22"/>
                    </w:rPr>
                    <w:t>Institute of Surveyors of Uganda</w:t>
                  </w:r>
                </w:p>
              </w:tc>
            </w:tr>
          </w:tbl>
          <w:p/>
          <w:p>
            <w:pPr>
              <w:spacing w:before="240" w:after="60" w:line="269" w:lineRule="auto"/>
              <w:jc w:val="left"/>
              <w:pBdr>
                <w:bottom w:val="single" w:sz="12" w:space="5" w:color="1A5A6E"/>
              </w:pBdr>
            </w:pPr>
            <w:r>
              <w:rPr>
                <w:rFonts w:ascii="Calibri" w:hAnsi="Calibri" w:eastAsia="Calibri"/>
                <w:b/>
                <w:i w:val="0"/>
                <w:color w:val="0F3D4C"/>
                <w:sz w:val="26"/>
              </w:rPr>
              <w:t>KEY PROJECTS</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13"/>
              <w:gridCol w:w="4513"/>
            </w:tblGrid>
            <w:tr>
              <w:tc>
                <w:tcPr>
                  <w:tcW w:type="dxa" w:w="4513"/>
                  <w:tcMar>
                    <w:top w:w="15" w:type="dxa"/>
                    <w:left w:w="0" w:type="dxa"/>
                    <w:bottom w:w="15" w:type="dxa"/>
                    <w:right w:w="60" w:type="dxa"/>
                  </w:tcMar>
                </w:tcPr>
                <w:p>
                  <w:pPr>
                    <w:spacing w:before="0" w:after="0" w:line="269" w:lineRule="auto"/>
                  </w:pPr>
                  <w:r/>
                  <w:r>
                    <w:rPr>
                      <w:rFonts w:ascii="Calibri" w:hAnsi="Calibri" w:eastAsia="Calibri"/>
                      <w:b w:val="0"/>
                      <w:i w:val="0"/>
                      <w:color w:val="5A6A75"/>
                      <w:sz w:val="22"/>
                    </w:rPr>
                    <w:t>•  Bagkara Mining Land Acquisition Project</w:t>
                  </w:r>
                </w:p>
              </w:tc>
              <w:tc>
                <w:tcPr>
                  <w:tcW w:type="dxa" w:w="4513"/>
                  <w:tcMar>
                    <w:top w:w="15" w:type="dxa"/>
                    <w:left w:w="0" w:type="dxa"/>
                    <w:bottom w:w="15" w:type="dxa"/>
                    <w:right w:w="60" w:type="dxa"/>
                  </w:tcMar>
                </w:tcPr>
                <w:p>
                  <w:pPr>
                    <w:spacing w:before="0" w:after="0" w:line="269" w:lineRule="auto"/>
                  </w:pPr>
                  <w:r/>
                  <w:r>
                    <w:rPr>
                      <w:rFonts w:ascii="Calibri" w:hAnsi="Calibri" w:eastAsia="Calibri"/>
                      <w:b w:val="0"/>
                      <w:i w:val="0"/>
                      <w:color w:val="5A6A75"/>
                      <w:sz w:val="22"/>
                    </w:rPr>
                    <w:t>•  Muhanga-Kisizi-Rwashamaire Road Project</w:t>
                  </w:r>
                </w:p>
              </w:tc>
            </w:tr>
            <w:tr>
              <w:tc>
                <w:tcPr>
                  <w:tcW w:type="dxa" w:w="4513"/>
                  <w:tcMar>
                    <w:top w:w="15" w:type="dxa"/>
                    <w:left w:w="0" w:type="dxa"/>
                    <w:bottom w:w="15" w:type="dxa"/>
                    <w:right w:w="60" w:type="dxa"/>
                  </w:tcMar>
                </w:tcPr>
                <w:p>
                  <w:pPr>
                    <w:spacing w:before="0" w:after="0" w:line="269" w:lineRule="auto"/>
                  </w:pPr>
                  <w:r/>
                  <w:r>
                    <w:rPr>
                      <w:rFonts w:ascii="Calibri" w:hAnsi="Calibri" w:eastAsia="Calibri"/>
                      <w:b w:val="0"/>
                      <w:i w:val="0"/>
                      <w:color w:val="5A6A75"/>
                      <w:sz w:val="22"/>
                    </w:rPr>
                    <w:t>•  Buliisa Service Station Compensation Valuation</w:t>
                  </w:r>
                </w:p>
              </w:tc>
              <w:tc>
                <w:tcPr>
                  <w:tcW w:type="dxa" w:w="4513"/>
                  <w:tcMar>
                    <w:top w:w="15" w:type="dxa"/>
                    <w:left w:w="0" w:type="dxa"/>
                    <w:bottom w:w="15" w:type="dxa"/>
                    <w:right w:w="60" w:type="dxa"/>
                  </w:tcMar>
                </w:tcPr>
                <w:p>
                  <w:pPr>
                    <w:spacing w:before="0" w:after="0" w:line="269" w:lineRule="auto"/>
                  </w:pPr>
                  <w:r/>
                  <w:r>
                    <w:rPr>
                      <w:rFonts w:ascii="Calibri" w:hAnsi="Calibri" w:eastAsia="Calibri"/>
                      <w:b w:val="0"/>
                      <w:i w:val="0"/>
                      <w:color w:val="5A6A75"/>
                      <w:sz w:val="22"/>
                    </w:rPr>
                    <w:t>•  Masaka-Mbarara 400KV Transmission Line</w:t>
                  </w:r>
                </w:p>
              </w:tc>
            </w:tr>
            <w:tr>
              <w:tc>
                <w:tcPr>
                  <w:tcW w:type="dxa" w:w="4513"/>
                  <w:tcMar>
                    <w:top w:w="15" w:type="dxa"/>
                    <w:left w:w="0" w:type="dxa"/>
                    <w:bottom w:w="15" w:type="dxa"/>
                    <w:right w:w="60" w:type="dxa"/>
                  </w:tcMar>
                </w:tcPr>
                <w:p>
                  <w:pPr>
                    <w:spacing w:before="0" w:after="0" w:line="269" w:lineRule="auto"/>
                  </w:pPr>
                  <w:r/>
                  <w:r>
                    <w:rPr>
                      <w:rFonts w:ascii="Calibri" w:hAnsi="Calibri" w:eastAsia="Calibri"/>
                      <w:b w:val="0"/>
                      <w:i w:val="0"/>
                      <w:color w:val="5A6A75"/>
                      <w:sz w:val="22"/>
                    </w:rPr>
                    <w:t>•  Singo Military Training School Compensation Project</w:t>
                  </w:r>
                </w:p>
              </w:tc>
              <w:tc>
                <w:tcPr>
                  <w:tcW w:type="dxa" w:w="4513"/>
                  <w:tcMar>
                    <w:top w:w="15" w:type="dxa"/>
                    <w:left w:w="0" w:type="dxa"/>
                    <w:bottom w:w="15" w:type="dxa"/>
                    <w:right w:w="60" w:type="dxa"/>
                  </w:tcMar>
                </w:tcPr>
                <w:p>
                  <w:pPr>
                    <w:spacing w:before="0" w:after="0" w:line="269" w:lineRule="auto"/>
                  </w:pPr>
                  <w:r/>
                  <w:r>
                    <w:rPr>
                      <w:rFonts w:ascii="Calibri" w:hAnsi="Calibri" w:eastAsia="Calibri"/>
                      <w:b w:val="0"/>
                      <w:i w:val="0"/>
                      <w:color w:val="5A6A75"/>
                      <w:sz w:val="22"/>
                    </w:rPr>
                    <w:t>•  Rural Electrification Projects across Uganda</w:t>
                  </w:r>
                </w:p>
              </w:tc>
            </w:tr>
            <w:tr>
              <w:tc>
                <w:tcPr>
                  <w:tcW w:type="dxa" w:w="4513"/>
                  <w:tcMar>
                    <w:top w:w="15" w:type="dxa"/>
                    <w:left w:w="0" w:type="dxa"/>
                    <w:bottom w:w="15" w:type="dxa"/>
                    <w:right w:w="60" w:type="dxa"/>
                  </w:tcMar>
                </w:tcPr>
                <w:p>
                  <w:pPr>
                    <w:spacing w:before="0" w:after="0" w:line="269" w:lineRule="auto"/>
                  </w:pPr>
                  <w:r/>
                  <w:r>
                    <w:rPr>
                      <w:rFonts w:ascii="Calibri" w:hAnsi="Calibri" w:eastAsia="Calibri"/>
                      <w:b w:val="0"/>
                      <w:i w:val="0"/>
                      <w:color w:val="5A6A75"/>
                      <w:sz w:val="22"/>
                    </w:rPr>
                    <w:t>•  Small Hydro Power Dam Resettlement Projects</w:t>
                  </w:r>
                </w:p>
              </w:tc>
              <w:tc>
                <w:tcPr>
                  <w:tcW w:type="dxa" w:w="4513"/>
                  <w:tcMar>
                    <w:top w:w="15" w:type="dxa"/>
                    <w:left w:w="0" w:type="dxa"/>
                    <w:bottom w:w="15" w:type="dxa"/>
                    <w:right w:w="60" w:type="dxa"/>
                  </w:tcMar>
                </w:tcPr>
                <w:p>
                  <w:pPr>
                    <w:spacing w:before="0" w:after="0" w:line="269" w:lineRule="auto"/>
                  </w:pPr>
                  <w:r/>
                  <w:r>
                    <w:rPr>
                      <w:rFonts w:ascii="Calibri" w:hAnsi="Calibri" w:eastAsia="Calibri"/>
                      <w:b w:val="0"/>
                      <w:i w:val="0"/>
                      <w:color w:val="5A6A75"/>
                      <w:sz w:val="22"/>
                    </w:rPr>
                    <w:t>•  Mortgage valuation assignments for major commercial banks</w:t>
                  </w:r>
                </w:p>
              </w:tc>
            </w:tr>
            <w:tr>
              <w:tc>
                <w:tcPr>
                  <w:tcW w:type="dxa" w:w="4513"/>
                  <w:tcMar>
                    <w:top w:w="15" w:type="dxa"/>
                    <w:left w:w="0" w:type="dxa"/>
                    <w:bottom w:w="15" w:type="dxa"/>
                    <w:right w:w="60" w:type="dxa"/>
                  </w:tcMar>
                </w:tcPr>
                <w:p>
                  <w:pPr>
                    <w:spacing w:before="0" w:after="0" w:line="269" w:lineRule="auto"/>
                  </w:pPr>
                  <w:r/>
                  <w:r>
                    <w:rPr>
                      <w:rFonts w:ascii="Calibri" w:hAnsi="Calibri" w:eastAsia="Calibri"/>
                      <w:b w:val="0"/>
                      <w:i w:val="0"/>
                      <w:color w:val="5A6A75"/>
                      <w:sz w:val="22"/>
                    </w:rPr>
                    <w:t>•  Isingiro Water Works Project</w:t>
                  </w:r>
                </w:p>
              </w:tc>
              <w:tc>
                <w:tcPr>
                  <w:tcW w:type="dxa" w:w="4513"/>
                  <w:tcMar>
                    <w:top w:w="15" w:type="dxa"/>
                    <w:left w:w="0" w:type="dxa"/>
                    <w:bottom w:w="15" w:type="dxa"/>
                    <w:right w:w="60" w:type="dxa"/>
                  </w:tcMar>
                </w:tcPr>
                <w:p>
                  <w:pPr>
                    <w:spacing w:before="0" w:after="0" w:line="269" w:lineRule="auto"/>
                  </w:pPr>
                  <w:r/>
                </w:p>
              </w:tc>
            </w:tr>
          </w:tbl>
          <w:p/>
          <w:p>
            <w:pPr>
              <w:spacing w:before="240" w:after="60" w:line="269" w:lineRule="auto"/>
              <w:jc w:val="left"/>
              <w:pBdr>
                <w:bottom w:val="single" w:sz="12" w:space="5" w:color="1A5A6E"/>
              </w:pBdr>
            </w:pPr>
            <w:r>
              <w:rPr>
                <w:rFonts w:ascii="Calibri" w:hAnsi="Calibri" w:eastAsia="Calibri"/>
                <w:b/>
                <w:i w:val="0"/>
                <w:color w:val="0F3D4C"/>
                <w:sz w:val="26"/>
              </w:rPr>
              <w:t>TECHNICAL EXPERTISE</w:t>
            </w:r>
          </w:p>
          <w:p>
            <w:pPr>
              <w:spacing w:before="40" w:after="80" w:line="269" w:lineRule="auto"/>
              <w:jc w:val="both"/>
            </w:pPr>
            <w:r>
              <w:rPr>
                <w:rFonts w:ascii="Calibri" w:hAnsi="Calibri" w:eastAsia="Calibri"/>
                <w:b w:val="0"/>
                <w:i w:val="0"/>
                <w:color w:val="2D3748"/>
                <w:sz w:val="22"/>
              </w:rPr>
              <w:t>Property Valuation  ·  Resettlement Action Plans (RAP)  ·  Land Acquisition  ·  Compensation Assessment  ·  Property Management  ·  Mortgage Valuation  ·  Property Market Analysis  ·  Community Engagement  ·  Geographic Information Systems (GIS)  ·  AutoCAD  ·  ArchiCAD  ·  REDAH Informatics  ·  VEKTA  ·  Microsoft Office Suite</w:t>
            </w:r>
          </w:p>
          <w:p>
            <w:pPr>
              <w:spacing w:before="240" w:after="60" w:line="269" w:lineRule="auto"/>
              <w:jc w:val="left"/>
              <w:pBdr>
                <w:bottom w:val="single" w:sz="12" w:space="5" w:color="1A5A6E"/>
              </w:pBdr>
            </w:pPr>
            <w:r>
              <w:rPr>
                <w:rFonts w:ascii="Calibri" w:hAnsi="Calibri" w:eastAsia="Calibri"/>
                <w:b/>
                <w:i w:val="0"/>
                <w:color w:val="0F3D4C"/>
                <w:sz w:val="26"/>
              </w:rPr>
              <w:t>CORE COMPETENCIES</w:t>
            </w:r>
          </w:p>
          <w:tbl>
            <w:tblPr>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13"/>
              <w:gridCol w:w="4513"/>
            </w:tblGrid>
            <w:tr>
              <w:tc>
                <w:tcPr>
                  <w:tcW w:type="dxa" w:w="4513"/>
                  <w:tcMar>
                    <w:top w:w="15" w:type="dxa"/>
                    <w:left w:w="0" w:type="dxa"/>
                    <w:bottom w:w="15" w:type="dxa"/>
                    <w:right w:w="60" w:type="dxa"/>
                  </w:tcMar>
                </w:tcPr>
                <w:p>
                  <w:pPr>
                    <w:spacing w:before="0" w:after="0" w:line="269" w:lineRule="auto"/>
                  </w:pPr>
                  <w:r/>
                  <w:r>
                    <w:rPr>
                      <w:rFonts w:ascii="Calibri" w:hAnsi="Calibri" w:eastAsia="Calibri"/>
                      <w:b w:val="0"/>
                      <w:i w:val="0"/>
                      <w:color w:val="5A6A75"/>
                      <w:sz w:val="22"/>
                    </w:rPr>
                    <w:t>•  Property &amp; Asset Valuation</w:t>
                  </w:r>
                </w:p>
              </w:tc>
              <w:tc>
                <w:tcPr>
                  <w:tcW w:type="dxa" w:w="4513"/>
                  <w:tcMar>
                    <w:top w:w="15" w:type="dxa"/>
                    <w:left w:w="0" w:type="dxa"/>
                    <w:bottom w:w="15" w:type="dxa"/>
                    <w:right w:w="60" w:type="dxa"/>
                  </w:tcMar>
                </w:tcPr>
                <w:p>
                  <w:pPr>
                    <w:spacing w:before="0" w:after="0" w:line="269" w:lineRule="auto"/>
                  </w:pPr>
                  <w:r/>
                  <w:r>
                    <w:rPr>
                      <w:rFonts w:ascii="Calibri" w:hAnsi="Calibri" w:eastAsia="Calibri"/>
                      <w:b w:val="0"/>
                      <w:i w:val="0"/>
                      <w:color w:val="5A6A75"/>
                      <w:sz w:val="22"/>
                    </w:rPr>
                    <w:t>•  Property Market Research</w:t>
                  </w:r>
                </w:p>
              </w:tc>
            </w:tr>
            <w:tr>
              <w:tc>
                <w:tcPr>
                  <w:tcW w:type="dxa" w:w="4513"/>
                  <w:tcMar>
                    <w:top w:w="15" w:type="dxa"/>
                    <w:left w:w="0" w:type="dxa"/>
                    <w:bottom w:w="15" w:type="dxa"/>
                    <w:right w:w="60" w:type="dxa"/>
                  </w:tcMar>
                </w:tcPr>
                <w:p>
                  <w:pPr>
                    <w:spacing w:before="0" w:after="0" w:line="269" w:lineRule="auto"/>
                  </w:pPr>
                  <w:r/>
                  <w:r>
                    <w:rPr>
                      <w:rFonts w:ascii="Calibri" w:hAnsi="Calibri" w:eastAsia="Calibri"/>
                      <w:b w:val="0"/>
                      <w:i w:val="0"/>
                      <w:color w:val="5A6A75"/>
                      <w:sz w:val="22"/>
                    </w:rPr>
                    <w:t>•  Land Acquisition &amp; Compensation</w:t>
                  </w:r>
                </w:p>
              </w:tc>
              <w:tc>
                <w:tcPr>
                  <w:tcW w:type="dxa" w:w="4513"/>
                  <w:tcMar>
                    <w:top w:w="15" w:type="dxa"/>
                    <w:left w:w="0" w:type="dxa"/>
                    <w:bottom w:w="15" w:type="dxa"/>
                    <w:right w:w="60" w:type="dxa"/>
                  </w:tcMar>
                </w:tcPr>
                <w:p>
                  <w:pPr>
                    <w:spacing w:before="0" w:after="0" w:line="269" w:lineRule="auto"/>
                  </w:pPr>
                  <w:r/>
                  <w:r>
                    <w:rPr>
                      <w:rFonts w:ascii="Calibri" w:hAnsi="Calibri" w:eastAsia="Calibri"/>
                      <w:b w:val="0"/>
                      <w:i w:val="0"/>
                      <w:color w:val="5A6A75"/>
                      <w:sz w:val="22"/>
                    </w:rPr>
                    <w:t>•  Negotiation &amp; Conflict Resolution</w:t>
                  </w:r>
                </w:p>
              </w:tc>
            </w:tr>
            <w:tr>
              <w:tc>
                <w:tcPr>
                  <w:tcW w:type="dxa" w:w="4513"/>
                  <w:tcMar>
                    <w:top w:w="15" w:type="dxa"/>
                    <w:left w:w="0" w:type="dxa"/>
                    <w:bottom w:w="15" w:type="dxa"/>
                    <w:right w:w="60" w:type="dxa"/>
                  </w:tcMar>
                </w:tcPr>
                <w:p>
                  <w:pPr>
                    <w:spacing w:before="0" w:after="0" w:line="269" w:lineRule="auto"/>
                  </w:pPr>
                  <w:r/>
                  <w:r>
                    <w:rPr>
                      <w:rFonts w:ascii="Calibri" w:hAnsi="Calibri" w:eastAsia="Calibri"/>
                      <w:b w:val="0"/>
                      <w:i w:val="0"/>
                      <w:color w:val="5A6A75"/>
                      <w:sz w:val="22"/>
                    </w:rPr>
                    <w:t>•  Resettlement Action Planning (RAP)</w:t>
                  </w:r>
                </w:p>
              </w:tc>
              <w:tc>
                <w:tcPr>
                  <w:tcW w:type="dxa" w:w="4513"/>
                  <w:tcMar>
                    <w:top w:w="15" w:type="dxa"/>
                    <w:left w:w="0" w:type="dxa"/>
                    <w:bottom w:w="15" w:type="dxa"/>
                    <w:right w:w="60" w:type="dxa"/>
                  </w:tcMar>
                </w:tcPr>
                <w:p>
                  <w:pPr>
                    <w:spacing w:before="0" w:after="0" w:line="269" w:lineRule="auto"/>
                  </w:pPr>
                  <w:r/>
                  <w:r>
                    <w:rPr>
                      <w:rFonts w:ascii="Calibri" w:hAnsi="Calibri" w:eastAsia="Calibri"/>
                      <w:b w:val="0"/>
                      <w:i w:val="0"/>
                      <w:color w:val="5A6A75"/>
                      <w:sz w:val="22"/>
                    </w:rPr>
                    <w:t>•  Valuation Reporting</w:t>
                  </w:r>
                </w:p>
              </w:tc>
            </w:tr>
            <w:tr>
              <w:tc>
                <w:tcPr>
                  <w:tcW w:type="dxa" w:w="4513"/>
                  <w:tcMar>
                    <w:top w:w="15" w:type="dxa"/>
                    <w:left w:w="0" w:type="dxa"/>
                    <w:bottom w:w="15" w:type="dxa"/>
                    <w:right w:w="60" w:type="dxa"/>
                  </w:tcMar>
                </w:tcPr>
                <w:p>
                  <w:pPr>
                    <w:spacing w:before="0" w:after="0" w:line="269" w:lineRule="auto"/>
                  </w:pPr>
                  <w:r/>
                  <w:r>
                    <w:rPr>
                      <w:rFonts w:ascii="Calibri" w:hAnsi="Calibri" w:eastAsia="Calibri"/>
                      <w:b w:val="0"/>
                      <w:i w:val="0"/>
                      <w:color w:val="5A6A75"/>
                      <w:sz w:val="22"/>
                    </w:rPr>
                    <w:t>•  Stakeholder Engagement</w:t>
                  </w:r>
                </w:p>
              </w:tc>
              <w:tc>
                <w:tcPr>
                  <w:tcW w:type="dxa" w:w="4513"/>
                  <w:tcMar>
                    <w:top w:w="15" w:type="dxa"/>
                    <w:left w:w="0" w:type="dxa"/>
                    <w:bottom w:w="15" w:type="dxa"/>
                    <w:right w:w="60" w:type="dxa"/>
                  </w:tcMar>
                </w:tcPr>
                <w:p>
                  <w:pPr>
                    <w:spacing w:before="0" w:after="0" w:line="269" w:lineRule="auto"/>
                  </w:pPr>
                  <w:r/>
                  <w:r>
                    <w:rPr>
                      <w:rFonts w:ascii="Calibri" w:hAnsi="Calibri" w:eastAsia="Calibri"/>
                      <w:b w:val="0"/>
                      <w:i w:val="0"/>
                      <w:color w:val="5A6A75"/>
                      <w:sz w:val="22"/>
                    </w:rPr>
                    <w:t>•  Project Coordination</w:t>
                  </w:r>
                </w:p>
              </w:tc>
            </w:tr>
            <w:tr>
              <w:tc>
                <w:tcPr>
                  <w:tcW w:type="dxa" w:w="4513"/>
                  <w:tcMar>
                    <w:top w:w="15" w:type="dxa"/>
                    <w:left w:w="0" w:type="dxa"/>
                    <w:bottom w:w="15" w:type="dxa"/>
                    <w:right w:w="60" w:type="dxa"/>
                  </w:tcMar>
                </w:tcPr>
                <w:p>
                  <w:pPr>
                    <w:spacing w:before="0" w:after="0" w:line="269" w:lineRule="auto"/>
                  </w:pPr>
                  <w:r/>
                  <w:r>
                    <w:rPr>
                      <w:rFonts w:ascii="Calibri" w:hAnsi="Calibri" w:eastAsia="Calibri"/>
                      <w:b w:val="0"/>
                      <w:i w:val="0"/>
                      <w:color w:val="5A6A75"/>
                      <w:sz w:val="22"/>
                    </w:rPr>
                    <w:t>•  Community Mobilisation</w:t>
                  </w:r>
                </w:p>
              </w:tc>
              <w:tc>
                <w:tcPr>
                  <w:tcW w:type="dxa" w:w="4513"/>
                  <w:tcMar>
                    <w:top w:w="15" w:type="dxa"/>
                    <w:left w:w="0" w:type="dxa"/>
                    <w:bottom w:w="15" w:type="dxa"/>
                    <w:right w:w="60" w:type="dxa"/>
                  </w:tcMar>
                </w:tcPr>
                <w:p>
                  <w:pPr>
                    <w:spacing w:before="0" w:after="0" w:line="269" w:lineRule="auto"/>
                  </w:pPr>
                  <w:r/>
                  <w:r>
                    <w:rPr>
                      <w:rFonts w:ascii="Calibri" w:hAnsi="Calibri" w:eastAsia="Calibri"/>
                      <w:b w:val="0"/>
                      <w:i w:val="0"/>
                      <w:color w:val="5A6A75"/>
                      <w:sz w:val="22"/>
                    </w:rPr>
                    <w:t>•  Data Collection &amp; Analysis</w:t>
                  </w:r>
                </w:p>
              </w:tc>
            </w:tr>
          </w:tbl>
          <w:p/>
          <w:p>
            <w:pPr>
              <w:spacing w:before="240" w:after="60" w:line="269" w:lineRule="auto"/>
              <w:jc w:val="left"/>
              <w:pBdr>
                <w:bottom w:val="single" w:sz="12" w:space="5" w:color="1A5A6E"/>
              </w:pBdr>
            </w:pPr>
            <w:r>
              <w:rPr>
                <w:rFonts w:ascii="Calibri" w:hAnsi="Calibri" w:eastAsia="Calibri"/>
                <w:b/>
                <w:i w:val="0"/>
                <w:color w:val="0F3D4C"/>
                <w:sz w:val="26"/>
              </w:rPr>
              <w:t>LANGUAGES</w:t>
            </w:r>
          </w:p>
          <w:p>
            <w:pPr>
              <w:spacing w:before="40" w:after="120" w:line="269" w:lineRule="auto"/>
              <w:jc w:val="left"/>
            </w:pPr>
            <w:r>
              <w:rPr>
                <w:rFonts w:ascii="Calibri" w:hAnsi="Calibri" w:eastAsia="Calibri"/>
                <w:b/>
                <w:i w:val="0"/>
                <w:color w:val="0F3D4C"/>
                <w:sz w:val="23"/>
              </w:rPr>
              <w:t>English</w:t>
            </w:r>
            <w:r>
              <w:rPr>
                <w:rFonts w:ascii="Calibri" w:hAnsi="Calibri" w:eastAsia="Calibri"/>
                <w:b w:val="0"/>
                <w:i w:val="0"/>
                <w:color w:val="5A6A75"/>
                <w:sz w:val="23"/>
              </w:rPr>
              <w:t xml:space="preserve">  ·  Fluent</w:t>
            </w:r>
            <w:r>
              <w:rPr>
                <w:rFonts w:ascii="Calibri" w:hAnsi="Calibri" w:eastAsia="Calibri"/>
                <w:b w:val="0"/>
                <w:i w:val="0"/>
                <w:sz w:val="23"/>
              </w:rPr>
              <w:t xml:space="preserve">          </w:t>
            </w:r>
            <w:r>
              <w:rPr>
                <w:rFonts w:ascii="Calibri" w:hAnsi="Calibri" w:eastAsia="Calibri"/>
                <w:b/>
                <w:i w:val="0"/>
                <w:color w:val="0F3D4C"/>
                <w:sz w:val="23"/>
              </w:rPr>
              <w:t>Luganda</w:t>
            </w:r>
            <w:r>
              <w:rPr>
                <w:rFonts w:ascii="Calibri" w:hAnsi="Calibri" w:eastAsia="Calibri"/>
                <w:b w:val="0"/>
                <w:i w:val="0"/>
                <w:color w:val="5A6A75"/>
                <w:sz w:val="23"/>
              </w:rPr>
              <w:t xml:space="preserve">  ·  Native</w:t>
            </w:r>
          </w:p>
        </w:tc>
      </w:tr>
    </w:tbl>
    <w:sectPr w:rsidR="00FC693F" w:rsidRPr="0006063C" w:rsidSect="00034616">
      <w:pgSz w:w="11906" w:h="16838"/>
      <w:pgMar w:top="0" w:right="0" w:bottom="737"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