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  <w:jc w:val="center"/>
      </w:pPr>
      <w:r>
        <w:rPr>
          <w:rFonts w:ascii="Calibri" w:hAnsi="Calibri"/>
          <w:b/>
          <w:i w:val="0"/>
          <w:color w:val="222222"/>
          <w:sz w:val="22"/>
        </w:rPr>
        <w:t>PUBLICATION INFORMATION</w:t>
      </w:r>
    </w:p>
    <w:p>
      <w:pPr>
        <w:spacing w:after="240" w:before="0" w:line="269" w:lineRule="auto"/>
        <w:jc w:val="center"/>
      </w:pPr>
      <w:r>
        <w:rPr>
          <w:rFonts w:ascii="Calibri" w:hAnsi="Calibri"/>
          <w:b w:val="0"/>
          <w:i/>
          <w:color w:val="222222"/>
          <w:sz w:val="18"/>
        </w:rPr>
        <w:t>Document control: Handbook Version 1.0.1 — Institutional Transformation Handbook (expanded operational edition). Locked skeleton: Handbook v1.0.0. Parent: Blueprint Founding Edition v1.0.1 Master Freeze.</w:t>
      </w:r>
    </w:p>
    <w:p>
      <w:pPr>
        <w:spacing w:after="80" w:before="0" w:line="269" w:lineRule="auto"/>
        <w:jc w:val="center"/>
      </w:pPr>
      <w:r>
        <w:rPr>
          <w:rFonts w:ascii="Calibri" w:hAnsi="Calibri"/>
          <w:b/>
          <w:i w:val="0"/>
          <w:color w:val="1A3A5C"/>
          <w:sz w:val="44"/>
        </w:rPr>
        <w:t>THE FAIRBANKS HANDBOOK</w:t>
      </w:r>
    </w:p>
    <w:p>
      <w:pPr>
        <w:spacing w:after="120" w:before="0" w:line="269" w:lineRule="auto"/>
        <w:jc w:val="center"/>
      </w:pPr>
      <w:r>
        <w:rPr>
          <w:rFonts w:ascii="Calibri" w:hAnsi="Calibri"/>
          <w:b w:val="0"/>
          <w:i/>
          <w:color w:val="222222"/>
          <w:sz w:val="28"/>
        </w:rPr>
        <w:t>Institutional Transformation Handbook</w:t>
      </w:r>
    </w:p>
    <w:p>
      <w:pPr>
        <w:spacing w:after="80" w:before="0" w:line="269" w:lineRule="auto"/>
        <w:jc w:val="center"/>
      </w:pPr>
      <w:r>
        <w:rPr>
          <w:rFonts w:ascii="Calibri" w:hAnsi="Calibri"/>
          <w:b/>
          <w:i w:val="0"/>
          <w:color w:val="1A3A5C"/>
          <w:sz w:val="24"/>
        </w:rPr>
        <w:t>Version 1.0.1 — Expanded Operational Edition</w:t>
      </w:r>
    </w:p>
    <w:p>
      <w:pPr>
        <w:spacing w:after="80" w:before="0" w:line="269" w:lineRule="auto"/>
        <w:jc w:val="center"/>
      </w:pPr>
      <w:r>
        <w:rPr>
          <w:rFonts w:ascii="Calibri" w:hAnsi="Calibri"/>
          <w:b w:val="0"/>
          <w:i/>
          <w:color w:val="222222"/>
          <w:sz w:val="20"/>
        </w:rPr>
        <w:t>Companion to: The FairBanks Blueprint — Volume I: Vision, Founding Edition Version 1.0.1</w:t>
      </w:r>
    </w:p>
    <w:p>
      <w:pPr>
        <w:spacing w:after="160" w:before="0" w:line="269" w:lineRule="auto"/>
        <w:jc w:val="center"/>
      </w:pPr>
      <w:r>
        <w:rPr>
          <w:rFonts w:ascii="Calibri" w:hAnsi="Calibri"/>
          <w:b w:val="0"/>
          <w:i w:val="0"/>
          <w:color w:val="222222"/>
          <w:sz w:val="22"/>
        </w:rPr>
        <w:t>2027–2032 Strategic Horizon</w:t>
      </w:r>
    </w:p>
    <w:p>
      <w:pPr>
        <w:spacing w:after="280" w:before="0" w:line="269" w:lineRule="auto"/>
        <w:jc w:val="center"/>
      </w:pPr>
      <w:r>
        <w:rPr>
          <w:rFonts w:ascii="Calibri" w:hAnsi="Calibri"/>
          <w:b w:val="0"/>
          <w:i/>
          <w:color w:val="222222"/>
          <w:sz w:val="24"/>
        </w:rPr>
        <w:t>Your Health, Our Mission.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Published by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FAIRBANKS MEDICAL CENTRE LIMITED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Plot 1423 and 1425, Tirupati Road, Fairbanks Medical Centre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Lugogo, Kololo IV, Kampala Central Division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Kampala, Uganda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Institutional particulars (URA Notice DT-1112)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TIN: 1053370026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Legal / Business Name: FAIRBANKS MEDICAL CENTRE LIMITED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Nature of Business: Human health and social work activities (ISIC Section Q)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TIN / Income Tax registration effective: 01 May 2025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Accounting date: 30 June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Certificate notice date: 02 July 2026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Principal place of business: Plot 1423 and 1425, Tirupati Road, Fairbanks Medical Centre, Lugogo, Kololo IV, Kampala Central Division, Kampala, Uganda</w:t>
      </w:r>
    </w:p>
    <w:p>
      <w:pPr>
        <w:spacing w:after="160" w:before="0" w:line="269" w:lineRule="auto"/>
        <w:jc w:val="left"/>
      </w:pPr>
      <w:r>
        <w:rPr>
          <w:rFonts w:ascii="Calibri" w:hAnsi="Calibri"/>
          <w:b w:val="0"/>
          <w:i/>
          <w:color w:val="222222"/>
          <w:sz w:val="22"/>
        </w:rPr>
        <w:t>Prepared and approved in 2026 | Handbook v1.0.1 issued for operational use with the Blueprint.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Document architecture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Blueprint = Strategy (what FairBanks believes, where it is going, and why)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Handbook = Operating system (how FairBanks turns vision into disciplined action)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Management Tools = Instruments managers fill in (templates in Part VII)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SOPs = Detailed procedures for specific activities (separate manuals)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Compact Executive Guide = Handbook v1.0.0 (kept as locked short companion)</w:t>
      </w:r>
    </w:p>
    <w:p>
      <w:pPr>
        <w:pageBreakBefore/>
        <w:spacing w:after="200"/>
        <w:jc w:val="center"/>
      </w:pPr>
      <w:r>
        <w:rPr>
          <w:rFonts w:ascii="Calibri" w:hAnsi="Calibri"/>
          <w:b/>
          <w:i w:val="0"/>
          <w:color w:val="1A3A5C"/>
          <w:sz w:val="30"/>
        </w:rPr>
        <w:t>PART I — UNDERSTANDING THE FAIRBANKS WAY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1. Purpose and Use of the Handbook</w:t>
      </w:r>
    </w:p>
    <w:p>
      <w:pPr>
        <w:spacing w:after="160" w:before="120" w:line="269" w:lineRule="auto"/>
        <w:jc w:val="center"/>
      </w:pPr>
      <w:r>
        <w:rPr>
          <w:rFonts w:ascii="Calibri" w:hAnsi="Calibri"/>
          <w:b w:val="0"/>
          <w:i/>
          <w:color w:val="222222"/>
          <w:sz w:val="22"/>
        </w:rPr>
        <w:t>Strategy lives in the Blueprint. Execution lives in this Handbook.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What this Handbook is</w:t>
      </w:r>
    </w:p>
    <w:p>
      <w:pPr>
        <w:spacing w:after="100" w:before="0" w:line="269" w:lineRule="auto"/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This Handbook is FairBanks' institutional operating system for the 2027–2032 strategic horizon. It shows managers, supervisors and teams how strategy becomes weekly work: who does what, when it happens, what evidence is required, and what to do when performance is off-track.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What this Handbook is not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Not a second Blueprint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Not a replacement for the Manifesto, Declaration or Covenant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Not a full SOP manual (SOPs remain separate procedure documents)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Not a marketing brochure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Not permission to invent parallel frameworks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Who must use it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Board of Directors — Gate decisions, oversight, stewardship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Managing Director and Executive Leadership — annual plans, stage control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Directors and Department Heads — departmental plans, KPIs, corrective action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Managers and Supervisors — weekly/monthly delivery and staff coaching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Programme and frontline teams — patient journeys, community work, documentation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MEL, Finance, HR, Partnerships and Digital leads — specialist instruments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When it should be used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At annual planning and budgeting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At monthly performance meetings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At quarterly transformation reviews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Before every Transformation Gate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When launching projects, partnerships or innovations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During onboarding of new leaders (First 90 Days)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Whenever a decision risks drifting from Blueprint terminology or values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How it relates to other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4752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Job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Blueprint v1.0.1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Strategy, philosophy, frameworks, covenant</w:t>
            </w:r>
          </w:p>
        </w:tc>
      </w:tr>
      <w:tr>
        <w:tc>
          <w:tcPr>
            <w:tcW w:type="dxa" w:w="4752"/>
          </w:tcPr>
          <w:p>
            <w:r>
              <w:t>Handbook v1.0.1 (this book)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Operating system, roles, gates, tools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Handbook v1.0.0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Compact executive operating guide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SOPs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Step-by-step clinical/admin procedures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Annual plans &amp; budgets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Year-specific commitments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Board minutes / Gate packs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Formal decisions and evidence</w:t>
            </w:r>
          </w:p>
        </w:tc>
      </w:tr>
    </w:tbl>
    <w:p/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2. FairBanks Institutional Transformation at a Glance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Institutional identity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Legal name: FAIRBANKS MEDICAL CENTRE LIMITED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Identity: Family &amp; Community Health Social Enterprise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Horizon: 2027–2032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Goal: From private medical centre to national healthcare transformation leader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Philosophy: Healthcare begins with individuals, grows through families, and flourishes within healthy communities.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Seven strategic priorities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Delivering Clinical Excellence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Strengthening Family &amp; Community Health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Accelerating Digital Transformation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Advancing Research &amp; Innovation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Building Strategic Partnerships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Promoting Sustainable Healthcare Financing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Achieving Institutional Excellence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Six core frameworks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FIHE — FairBanks Integrated Health Ecosystem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FITF — FairBanks Institutional Transformation Framework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F7TM — FairBanks 7×7 Transformation Matrix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FMM — FairBanks Maturity Model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FCHIP — FairBanks Community Health Intelligence Platform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CHIP — Community Health Insurance Programme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Supporting instruments sit under these six and integrate through FIMS.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Locked architecture hierarchy</w:t>
      </w:r>
    </w:p>
    <w:p>
      <w:pPr>
        <w:spacing w:after="100" w:before="0" w:line="269" w:lineRule="auto"/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Purpose → Vision/Mission → Seven Strategic Priorities → Six Core Frameworks → Supporting Instruments → FIMS → Five-Stage Transformation Roadmap → Governance/Financing/Partnerships/MEL/Risk/Investment → Manifesto/Declaration/Covenant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How the system works (one-page flow)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Use this cascade when explaining FairBanks to new staff and partners: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BOARD — sets direction, approves Gates, protects stewardship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EXECUTIVE LEADERSHIP — translates strategy into annual plans and stage ownership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FIMS — integrates frameworks and management instruments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STRATEGIC PRIORITIES — focus institutional effort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DEPARTMENTS / PROGRAMMES — deliver services and projects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PROJECTS &amp; DAILY OPERATIONS — patient care, outreach, finance, admin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MEL + LEARNING — measure, review, improve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TRANSFORMATION GATE — evidence-based stage progression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NEXT STAGE — capability-driven advance within 2027–2032</w:t>
      </w:r>
    </w:p>
    <w:p>
      <w:pPr>
        <w:pageBreakBefore/>
        <w:spacing w:after="200"/>
        <w:jc w:val="center"/>
      </w:pPr>
      <w:r>
        <w:rPr>
          <w:rFonts w:ascii="Calibri" w:hAnsi="Calibri"/>
          <w:b/>
          <w:i w:val="0"/>
          <w:color w:val="1A3A5C"/>
          <w:sz w:val="30"/>
        </w:rPr>
        <w:t>PART II — THE FAIRBANKS OPERATING SYSTEM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3. The FairBanks Operating Model</w:t>
      </w:r>
    </w:p>
    <w:p>
      <w:pPr>
        <w:spacing w:after="160" w:before="120" w:line="269" w:lineRule="auto"/>
        <w:jc w:val="center"/>
      </w:pPr>
      <w:r>
        <w:rPr>
          <w:rFonts w:ascii="Calibri" w:hAnsi="Calibri"/>
          <w:b w:val="0"/>
          <w:i/>
          <w:color w:val="222222"/>
          <w:sz w:val="22"/>
        </w:rPr>
        <w:t>Strategy becomes work through a repeating Strategy-to-Execution Cycle.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FairBanks Strategy-to-Execution 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4752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Question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Strategy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What are we trying to achieve? (Blueprint)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Annual Plan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What must happen this year?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Department Plan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What must my department deliver?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Individual Responsibilities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What am I accountable for?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KPI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How will we know?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Review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Are we on track?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Corrective Action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What must change?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Learning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What did we learn?</w:t>
            </w:r>
          </w:p>
        </w:tc>
      </w:tr>
    </w:tbl>
    <w:p/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No department may skip Review → Corrective Action → Learning. Reporting without correction is not transformation.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4. Roles and Accountability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Use RACI for clarity: R = Responsible (does the work), A = Accountable (owns the outcome), C = Consulted, I = Informed.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Activity</w:t>
            </w:r>
          </w:p>
        </w:tc>
        <w:tc>
          <w:tcPr>
            <w:tcW w:type="dxa" w:w="1584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Board</w:t>
            </w:r>
          </w:p>
        </w:tc>
        <w:tc>
          <w:tcPr>
            <w:tcW w:type="dxa" w:w="1584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MD</w:t>
            </w:r>
          </w:p>
        </w:tc>
        <w:tc>
          <w:tcPr>
            <w:tcW w:type="dxa" w:w="1584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Director</w:t>
            </w:r>
          </w:p>
        </w:tc>
        <w:tc>
          <w:tcPr>
            <w:tcW w:type="dxa" w:w="1584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Manager</w:t>
            </w:r>
          </w:p>
        </w:tc>
        <w:tc>
          <w:tcPr>
            <w:tcW w:type="dxa" w:w="1584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Staff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Strategic planning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Annual work plans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KPI monitoring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Risk management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Transformation Gate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Clinical quality &amp; safety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Community programmes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Partnership agreements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Budget &amp; cash control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FCHIP / digital data quality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MEL dashboards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Covenant culture behaviours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</w:t>
            </w:r>
          </w:p>
        </w:tc>
      </w:tr>
    </w:tbl>
    <w:p/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If two people are marked A for the same activity, clarify before work starts.</w:t>
      </w:r>
    </w:p>
    <w:p>
      <w:pPr>
        <w:pageBreakBefore/>
        <w:spacing w:after="200"/>
        <w:jc w:val="center"/>
      </w:pPr>
      <w:r>
        <w:rPr>
          <w:rFonts w:ascii="Calibri" w:hAnsi="Calibri"/>
          <w:b/>
          <w:i w:val="0"/>
          <w:color w:val="1A3A5C"/>
          <w:sz w:val="30"/>
        </w:rPr>
        <w:t>PART III — THE FIVE-STAGE TRANSFORMATION PLAYBOOK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5. Five-Stage Journey Overview</w:t>
      </w:r>
    </w:p>
    <w:p>
      <w:pPr>
        <w:spacing w:after="160" w:before="120" w:line="269" w:lineRule="auto"/>
        <w:jc w:val="center"/>
      </w:pPr>
      <w:r>
        <w:rPr>
          <w:rFonts w:ascii="Calibri" w:hAnsi="Calibri"/>
          <w:b w:val="0"/>
          <w:i/>
          <w:color w:val="222222"/>
          <w:sz w:val="22"/>
        </w:rPr>
        <w:t>The roadmap is time-bound, but transformation is capability-driven.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3168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3168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Emphasis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2027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Foundation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Build the institution before scaling it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2028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Integration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Integrate services, systems and pathways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2029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Innovation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Learn, pilot and improve with evidence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2030–2031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Leadership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Deepen influence, partnerships and leadership depth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2032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Sustainability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Lock stewardship and endurance</w:t>
            </w:r>
          </w:p>
        </w:tc>
      </w:tr>
    </w:tbl>
    <w:p/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The Leadership stage spans 2030–2031, reflecting the time required to consolidate institutional influence, partnerships, and leadership capacity.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Five implementation principles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Build Strong Foundations Before Expansion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Strengthen Systems Before Scaling Services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Promote Partnerships Before Duplication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Measure Progress Before Accelerating Growth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Pursue Sustainability Before Replication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6. 2027 — Foundation Playbook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Goal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Establish governance, systems, people, finance, digital and operational foundations.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Exit test</w:t>
      </w:r>
    </w:p>
    <w:p>
      <w:pPr>
        <w:spacing w:after="160" w:before="120" w:line="269" w:lineRule="auto"/>
        <w:jc w:val="center"/>
      </w:pPr>
      <w:r>
        <w:rPr>
          <w:rFonts w:ascii="Calibri" w:hAnsi="Calibri"/>
          <w:b w:val="0"/>
          <w:i/>
          <w:color w:val="222222"/>
          <w:sz w:val="22"/>
        </w:rPr>
        <w:t>Foundations can support Integration without unsafe scale-up.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Priorities and actions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Governance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Approve core policies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Establish committees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Clarify reporting lines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People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Confirm staffing structure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Complete job descriptions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Set performance expectations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Run orientation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Finance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Budget controls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Cash-flow monitoring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Monthly management accounts on time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Clinical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SOP implementation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Quality and safety monitoring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Referral pathways documented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Digital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FCHIP foundation (phased)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Data governance basics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Information security baselines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KPI examples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% core policies approved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% staff with current job descriptions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Monthly financial reports produced on time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Patient safety incidents reviewed within agreed time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% priority SOPs implemented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Priority data completeness rate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Gate evidence pack (minimum)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Board/management minutes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Approved policies register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Staff structure and JD pack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Approved budget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KPI dashboard baseline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Risk register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SOP register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7. 2028 — Integration Playbook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Goal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Integrate clinical, community, digital and workforce pathways into one coordinated model.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Exit test</w:t>
      </w:r>
    </w:p>
    <w:p>
      <w:pPr>
        <w:spacing w:after="160" w:before="120" w:line="269" w:lineRule="auto"/>
        <w:jc w:val="center"/>
      </w:pPr>
      <w:r>
        <w:rPr>
          <w:rFonts w:ascii="Calibri" w:hAnsi="Calibri"/>
          <w:b w:val="0"/>
          <w:i/>
          <w:color w:val="222222"/>
          <w:sz w:val="22"/>
        </w:rPr>
        <w:t>Patients and teams experience one system, not siloed units.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Priorities and actions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Patient journey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Map registration → triage → consultation → lab → pharmacy → payment → follow-up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Identify delay, duplication and fragmentation points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Clinical–community link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Document referral pathways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Close the loop on community referrals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Record follow-ups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Teamwork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Hold multidisciplinary reviews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Share essential information across departments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Align rosters to pathway bottlenecks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Digital continuity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Reduce double entry where feasible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Improve handoff documentation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Track incomplete encounters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KPI examples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% completed referral feedback loops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Average pathway waiting times at critical steps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Multidisciplinary reviews held as scheduled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Patient experience scores / complaint themes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% encounters with complete documentation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Gate evidence pack (minimum)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Patient journey map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Integration checklist results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Referral pathway SOP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Sample closed-loop referral files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Updated risk and quality reports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8. 2029 — Innovation Playbook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Goal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Use learning, research and responsible digital intelligence to improve care and operations.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Exit test</w:t>
      </w:r>
    </w:p>
    <w:p>
      <w:pPr>
        <w:spacing w:after="160" w:before="120" w:line="269" w:lineRule="auto"/>
        <w:jc w:val="center"/>
      </w:pPr>
      <w:r>
        <w:rPr>
          <w:rFonts w:ascii="Calibri" w:hAnsi="Calibri"/>
          <w:b w:val="0"/>
          <w:i/>
          <w:color w:val="222222"/>
          <w:sz w:val="22"/>
        </w:rPr>
        <w:t>Innovation improves outcomes or efficiency with documented learning.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Priorities and actions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Innovation method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Problem → Idea → Pilot → Evidence → Decision → Scale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No scale without evidence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FCHIP use-cases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Define phased analytics backlog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Keep clinical governance over AI/tools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Treat planned capability as designed until proven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Research &amp; education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Priority learning questions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Partner with universities carefully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Document lessons learned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KPI examples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Number of pilots with completed evaluation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% pilots with clear Stop/Modify/Scale decision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Documented outcome/efficiency gains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FMM improvement on priority dimensions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Gate evidence pack (minimum)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Innovation canvases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Pilot evaluation reports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Scale/stop decisions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Updated FCHIP backlog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Lessons learned log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9. 2030–2031 — Leadership Playbook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Goal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Strengthen FairBanks as a trusted institutional leader and partner.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Exit test</w:t>
      </w:r>
    </w:p>
    <w:p>
      <w:pPr>
        <w:spacing w:after="160" w:before="120" w:line="269" w:lineRule="auto"/>
        <w:jc w:val="center"/>
      </w:pPr>
      <w:r>
        <w:rPr>
          <w:rFonts w:ascii="Calibri" w:hAnsi="Calibri"/>
          <w:b w:val="0"/>
          <w:i/>
          <w:color w:val="222222"/>
          <w:sz w:val="22"/>
        </w:rPr>
        <w:t>FairBanks can lead collaboratively without founder-only dependence.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Priorities and actions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Leadership depth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Second-line leaders ready for key portfolios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Documented delegation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Succession arrangements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Partnership maturity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Institutional (not personality-based) agreements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Credible government/partner representation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Shared deliverables tracked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Institutional memory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Knowledge documented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Key processes not trapped in individuals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Onboarding packs current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KPI examples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Leadership coverage for critical roles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% partnerships with active agreements and owners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Documented succession plans for key posts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Partner/government engagement quality notes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Gate evidence pack (minimum)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Leadership readiness assessment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Succession notes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Partnership tracker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Knowledge/document register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External engagement log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10. 2032 — Sustainability Playbook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Goal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Lock in stewardship, resilience and lasting community value.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Exit test</w:t>
      </w:r>
    </w:p>
    <w:p>
      <w:pPr>
        <w:spacing w:after="160" w:before="120" w:line="269" w:lineRule="auto"/>
        <w:jc w:val="center"/>
      </w:pPr>
      <w:r>
        <w:rPr>
          <w:rFonts w:ascii="Calibri" w:hAnsi="Calibri"/>
          <w:b w:val="0"/>
          <w:i/>
          <w:color w:val="222222"/>
          <w:sz w:val="22"/>
        </w:rPr>
        <w:t>The institution can endure beyond one planning cycle.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Priorities and actions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Stewardship test before major spend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Is it financially sustainable?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Is it operationally sustainable?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Is it clinically safe?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Is there leadership capacity?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Does it create measurable community value?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Can it survive beyond one planning cycle?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Close the horizon well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Confirm resilience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Refresh Covenant commitments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Prepare next-horizon priorities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KPI examples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Sustainability score / financial resilience indicators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% major investments passing stewardship test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Risk residual within appetite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Covenant reaffirmation completed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Gate evidence pack (minimum)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Investment prioritisation records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Sustainability compass / scorecard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Updated risk register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Covenant reaffirmation minute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✓ Next-horizon briefing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11. Transformation Gates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FairBanks does not advance merely because a calendar year ended. Progression depends on capability evidence.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Gate evidence standard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Current-stage priority deliverables substantially complete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Risks identified and mitigated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Financing and workforce can sustain the next stage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MEL shows acceptable progress or an explicit recovery plan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Patient safety and clinical quality are not compromised by expansion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Board decision options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PROCEED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PROCEED WITH CONDITIONS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HOLD &amp; REMEDIATE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REDESIGN SCOPE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Transformation Gate Pack (management submits)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Stage scorecard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Deliverables tracker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Financial position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Workforce readiness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Risk register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Patient safety report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MEL dashboard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Partnership status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Lessons learned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Recommendation to Board</w:t>
      </w:r>
    </w:p>
    <w:p>
      <w:pPr>
        <w:pageBreakBefore/>
        <w:spacing w:after="200"/>
        <w:jc w:val="center"/>
      </w:pPr>
      <w:r>
        <w:rPr>
          <w:rFonts w:ascii="Calibri" w:hAnsi="Calibri"/>
          <w:b/>
          <w:i w:val="0"/>
          <w:color w:val="1A3A5C"/>
          <w:sz w:val="30"/>
        </w:rPr>
        <w:t>PART IV — MANAGEMENT RHYTHM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12. Annual Planning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Every department completes an Annual Department Work Plan aligned to a Blueprint priority and stage.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Tool A — Annual Department Work Plan fields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Complete each field. Attach evidence where indicated.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Strategic Priority: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Blueprint Anchor (chapter/framework):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Annual Objective: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Key Activities: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Responsible Person: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Budget: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KPI: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Target: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Timeline: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Risks: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Evidence: _______________________________________________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13. Monthly Performance Review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Standard FairBanks management meeting agenda: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What did we commit to?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What was achieved?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What was not achieved?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Why?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What risks emerged?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What corrective action is required?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Who owns the action?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When will it be completed?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What evidence will demonstrate completion?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14. Quarterly Transformation Review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Use a simple RAG rating across domains: 🟢 On Track · 🟡 At Risk · 🔴 Off Track.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168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RAG</w:t>
            </w:r>
          </w:p>
        </w:tc>
        <w:tc>
          <w:tcPr>
            <w:tcW w:type="dxa" w:w="3168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 / actions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Clinical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Community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Finance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People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Digital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Partnerships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Research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Risk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</w:tbl>
    <w:p/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15. Annual Institutional Review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Stage review against Blueprint Chapter 10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Policy/SOP refresh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Covenant reaffirmation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Next-year plan within the 2027–2032 horizon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Board Gate decision if at a stage boundary</w:t>
      </w:r>
    </w:p>
    <w:p>
      <w:pPr>
        <w:pageBreakBefore/>
        <w:spacing w:after="200"/>
        <w:jc w:val="center"/>
      </w:pPr>
      <w:r>
        <w:rPr>
          <w:rFonts w:ascii="Calibri" w:hAnsi="Calibri"/>
          <w:b/>
          <w:i w:val="0"/>
          <w:color w:val="1A3A5C"/>
          <w:sz w:val="30"/>
        </w:rPr>
        <w:t>PART V — PERFORMANCE &amp; LEARNING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16. MEL and Dashboards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MEL exists to improve decisions, not to decorate reports. Every KPI must have an owner, a data source, a review frequency and a corrective-action path.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Select a small vital set of indicators per department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Define numerators/denominators clearly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Review monthly; deep-dive quarterly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Escalate persistent red ratings to Executive/Board as appropriate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17. FMM Self-Assessment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Use the FairBanks Maturity Model quarterly on priority dimensions. Maturity scores guide capability building — they are not vanity metrics.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Tool B — Quick FMM snapshot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Complete each field. Attach evidence where indicated.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Dimension: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Current stage (Emerging→Legacy):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Evidence: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Next improvement action: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Owner: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Due date: _______________________________________________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18. Risk Management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Risk is reviewed at least monthly by management and quarterly by Board.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Tool C — Risk register row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Complete each field. Attach evidence where indicated.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Risk ID: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Description: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Likelihood: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Impact: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Score: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Mitigation: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Owner: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Status: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Review date: _______________________________________________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19. Learning and Knowledge Management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Capture lessons after projects, incidents and Gates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Store learning where successors can find it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Convert repeated lessons into SOP or training updates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Never scale an innovation without a recorded learning note</w:t>
      </w:r>
    </w:p>
    <w:p>
      <w:pPr>
        <w:pageBreakBefore/>
        <w:spacing w:after="200"/>
        <w:jc w:val="center"/>
      </w:pPr>
      <w:r>
        <w:rPr>
          <w:rFonts w:ascii="Calibri" w:hAnsi="Calibri"/>
          <w:b/>
          <w:i w:val="0"/>
          <w:color w:val="1A3A5C"/>
          <w:sz w:val="30"/>
        </w:rPr>
        <w:t>PART VI — FUNCTIONAL IMPLEMENTATION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20. Clinical Services &amp; FIHE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Core actions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Apply FIHE continuity: prevention → care → follow-up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Maintain quality and patient-safety huddles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Keep referral pathways current and used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Reduce fragmentation across clinical units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Example KPIs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Safety incidents closed on time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Documentation completeness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Referral loop closure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21. Nursing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Core actions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Protect patient experience and dignity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Strengthen bedside documentation and handovers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Link facility care with community follow-up where indicated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Escalate safety concerns early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Example KPIs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Handover compliance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Complaint/compliment themes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Safety escalation timeliness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22. Laboratory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Core actions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Guard quality and turnaround times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Maintain equipment utilisation and downtime logs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Ensure results feed clinical and digital records reliably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Example KPIs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TAT against target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QC performance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Critical result notification time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23. Pharmacy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Core actions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Stock management and availability of essentials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Rational medicines use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Patient counselling quality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Revenue integrity without compromising care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Example KPIs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Stock-out days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Dispensing error rate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Counselling audit score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24. Finance &amp; Sustainability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Core actions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Budget discipline and cash-flow visibility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Timely management accounts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Stewardship test before major investment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Transparent partner/project financial reporting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Example KPIs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Reports on time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Budget variance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Cash days cover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25. HR / Corporate Services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Core actions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Staffing against structure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Performance management and training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Culture and Covenant behaviours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Safe facilities and support services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Example KPIs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Filled critical posts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Appraisal completion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Training hours on priorities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26. Community Health, CHIP &amp; Outreach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Core actions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Plan outreach against community need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Support CHWs/VHTs with clear tools and supervision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Link community referrals to facility care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Treat CHIP as phased/designed until evidence supports scale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Example KPIs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Outreach sessions completed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Referral completion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CHIP pilot enrolment integrity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27. FCHIP &amp; Digital Transformation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Core actions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Maintain phased backlog, not over-claimed live capability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Protect data quality, privacy and security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Support clinical and community workflows first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Document analytics use-cases and owners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Example KPIs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Data completeness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Downtime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Use-case delivery vs plan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28. Partnerships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Core actions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Maintain partner pipeline and agreement register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Assign owners and deliverables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Prefer collaboration before duplication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Report honestly to partners and Board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Example KPIs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Active agreements with owners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Deliverable completion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Partner issues unresolved &gt;30 days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29. MEL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Core actions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Own the institutional dashboard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Support departments to define usable KPIs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Prepare Gate packs and quarterly RAG summaries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Facilitate learning reviews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Example KPIs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Dashboard freshness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Gate pack completeness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Learning notes filed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30. Research &amp; Innovation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Core actions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Use Innovation Canvas before pilots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Require ethics/governance where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Decide Stop / Modify / Scale with evidence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Feed results into practice and training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Example KPIs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Pilots evaluated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Decisions recorded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Practice changes adopted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31. People &amp; Leadership Development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Core actions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Reduce founder-only dependence over time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Coach second-line leaders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Document succession for critical roles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Protect institutional memory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Example KPIs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Leadership coverage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Succession docs current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Delegation evidence</w:t>
      </w:r>
    </w:p>
    <w:p>
      <w:pPr>
        <w:pageBreakBefore/>
        <w:spacing w:after="200"/>
        <w:jc w:val="center"/>
      </w:pPr>
      <w:r>
        <w:rPr>
          <w:rFonts w:ascii="Calibri" w:hAnsi="Calibri"/>
          <w:b/>
          <w:i w:val="0"/>
          <w:color w:val="1A3A5C"/>
          <w:sz w:val="30"/>
        </w:rPr>
        <w:t>PART VII — CULTURE &amp; STEWARDSHIP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32. FairBanks Culture in Daily Decisions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Translate Blueprint values into ordinary choices. Before acting, staff and leaders ask: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Does this improve patient care?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Does this strengthen the family?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Does this benefit the community?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Does this protect institutional sustainability?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Does this create useful knowledge?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Does this strengthen trust?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Does this honour the Covenant?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33. Covenant in Practice</w:t>
      </w:r>
    </w:p>
    <w:p>
      <w:pPr>
        <w:spacing w:after="100" w:before="0" w:line="269" w:lineRule="auto"/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The Covenant is not only a closing text in the Blueprint. It is a standard for dignity, integrity, excellence, community, stewardship, leadership development, knowledge, responsible innovation, partnership and mission fidelity.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Reaffirm annually at Board level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Reference in induction and appraisal conversations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Use in difficult trade-off decisions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34. Leadership and Succession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Map critical roles and deputies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Create development plans for second-line leaders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Document what only one person currently knows — then share it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Test delegation with real authority, not symbolic tasks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35. Institutional Stewardship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Every major investment or expansion must pass the stewardship questions in the Sustainability Playbook.</w:t>
      </w:r>
    </w:p>
    <w:p>
      <w:pPr>
        <w:pageBreakBefore/>
        <w:spacing w:after="200"/>
        <w:jc w:val="center"/>
      </w:pPr>
      <w:r>
        <w:rPr>
          <w:rFonts w:ascii="Calibri" w:hAnsi="Calibri"/>
          <w:b/>
          <w:i w:val="0"/>
          <w:color w:val="1A3A5C"/>
          <w:sz w:val="30"/>
        </w:rPr>
        <w:t>PART VIII — MANAGEMENT TOOLKIT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36. Toolkit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Tool</w:t>
            </w:r>
          </w:p>
        </w:tc>
        <w:tc>
          <w:tcPr>
            <w:tcW w:type="dxa" w:w="4752"/>
            <w:shd w:fill="1A3A5C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Tool 1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Annual Department Work Plan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Tool 2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Monthly Performance Dashboard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Tool 3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Quarterly Transformation Scorecard (RAG)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Tool 4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Transformation Gate Evidence Checklist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Tool 5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Risk Register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Tool 6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Partnership Tracker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Tool 7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Innovation Proposal / Canvas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Tool 8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Project Status Report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Tool 9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Lessons Learned Template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Tool 10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Corrective Action Register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Tool 11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Staff Transformation Self-Assessment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Tool 12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Department Head Readiness Assessment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Tool 13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Board Gate Decision Form</w:t>
            </w:r>
          </w:p>
        </w:tc>
      </w:tr>
    </w:tbl>
    <w:p/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37. Selected ready-to-use forms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Tool 4 — Transformation Gate Evidence Checklist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Complete each field. Attach evidence where indicated.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Stage under review: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Deliverables tracker attached (Y/N):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Financial position attached (Y/N):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Workforce readiness attached (Y/N):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Risk register attached (Y/N):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Patient safety report attached (Y/N):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MEL dashboard attached (Y/N):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Partnership status attached (Y/N):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Lessons learned attached (Y/N):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Management recommendation: _______________________________________________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Tool 7 — Innovation Canvas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Complete each field. Attach evidence where indicated.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Problem: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Proposed solution: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Beneficiaries: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Resources / cost: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Risk: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Measure of success: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Decision (Stop/Modify/Scale): _______________________________________________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Tool 13 — Board Gate Decision Form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Complete each field. Attach evidence where indicated.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Meeting date: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Stage considered: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Evidence pack complete (Y/N):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Decision (Proceed / Proceed with conditions / Hold &amp; remediate / Redesign scope):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Conditions / remediation actions: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Responsible owners: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Next review date: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Board chair signature: _______________________________________________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Tool 6 — Partnership Tracker row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Complete each field. Attach evidence where indicated.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Partner: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Purpose: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Agreement status: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Owner: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Deliverables due: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Risks: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Last report date: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RAG: _______________________________________________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Tool 10 — Corrective Action Register row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Complete each field. Attach evidence where indicated.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Issue: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Root cause: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Action: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Owner: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Due date: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Status: _______________________________________________</w:t>
      </w:r>
    </w:p>
    <w:p>
      <w:pPr>
        <w:spacing w:after="6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Evidence of closure: _______________________________________________</w:t>
      </w:r>
    </w:p>
    <w:p>
      <w:pPr>
        <w:pageBreakBefore/>
        <w:spacing w:after="200"/>
        <w:jc w:val="center"/>
      </w:pPr>
      <w:r>
        <w:rPr>
          <w:rFonts w:ascii="Calibri" w:hAnsi="Calibri"/>
          <w:b/>
          <w:i w:val="0"/>
          <w:color w:val="1A3A5C"/>
          <w:sz w:val="30"/>
        </w:rPr>
        <w:t>PART IX — QUICK REFERENCE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38. First 90 Days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Day 1–30 — Understand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Read Blueprint Executive Summary, At a Glance and Chapter 10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Read this Handbook Parts I–III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Meet your manager; clarify role and stage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Identify the Blueprint chapters that anchor your work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Day 31–60 — Align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Confirm departmental annual objectives and KPIs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Log top risks and owners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Agree evidence you will produce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Join the monthly performance rhythm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4"/>
        </w:rPr>
        <w:t>Day 61–90 — Execute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Deliver 3–5 visible milestones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Close at least one corrective action fully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File one lesson learned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Know the date of the next Gate or quarterly review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39. Escalation rules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Patient safety issue — escalate immediately through clinical chain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Red KPI for two consecutive months — escalate to Director/MD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Material financial or partnership risk — escalate to MD/Board as required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Terminology drift or parallel framework proposals — stop and return to Blueprint/Handbook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40. Institutional Language &amp; Terminology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Say “2027–2032 strategic horizon” (not “five-year strategic period”)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Say “five-stage transformation journey”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Keep stages: 2027 Foundation → 2028 Integration → 2029 Innovation → 2030–2031 Leadership → 2032 Sustainability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Treat FCHIP/CHIP capabilities as phased/designed unless evidence shows otherwise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Use URA-registered address and TIN 1053370026 for formal particulars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Community catchment names describe outreach geography; they are not the registered headquarters address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41. Success picture for tracking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By the end of the 2027–2032 strategic horizon, FairBanks aims to be recognised for: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Making significant progress toward becoming Uganda's leading Family &amp; Community Health Social Enterprise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Trusted for integrated healthcare services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Recognised for excellence in community health and preventive care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Recognised as a leader in digital health and community health intelligence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Recognised as a respected research and innovation partner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Recognised as a preferred partner for government, universities, insurers, and development agencies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Financially sustainable, with measurable social impact</w:t>
      </w:r>
    </w:p>
    <w:p>
      <w:pPr>
        <w:pageBreakBefore/>
        <w:spacing w:after="160"/>
        <w:jc w:val="left"/>
      </w:pPr>
      <w:r>
        <w:rPr>
          <w:rFonts w:ascii="Calibri" w:hAnsi="Calibri"/>
          <w:b/>
          <w:i w:val="0"/>
          <w:color w:val="1A3A5C"/>
          <w:sz w:val="28"/>
        </w:rPr>
        <w:t>42. Closing rule</w:t>
      </w:r>
    </w:p>
    <w:p>
      <w:pPr>
        <w:spacing w:after="160" w:before="120" w:line="269" w:lineRule="auto"/>
        <w:jc w:val="center"/>
      </w:pPr>
      <w:r>
        <w:rPr>
          <w:rFonts w:ascii="Calibri" w:hAnsi="Calibri"/>
          <w:b w:val="0"/>
          <w:i/>
          <w:color w:val="222222"/>
          <w:sz w:val="22"/>
        </w:rPr>
        <w:t>Don't reinvent the strategy. Don't rush the transformation. Don't compromise the values.</w:t>
      </w:r>
    </w:p>
    <w:p>
      <w:pPr>
        <w:spacing w:after="100" w:before="0" w:line="26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When unsure, ask: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Does the Blueprint already decide this? If yes, implement — do not reopen.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Are we ready for the next stage by capability, not by calendar? If no, hold the Gate.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22222"/>
          <w:sz w:val="20"/>
        </w:rPr>
        <w:t>Does this action honour the Covenant and “Your Health, Our Mission”? If no, stop.</w:t>
      </w:r>
    </w:p>
    <w:p>
      <w:pPr>
        <w:spacing w:after="40" w:before="320" w:line="269" w:lineRule="auto"/>
        <w:jc w:val="center"/>
      </w:pPr>
      <w:r>
        <w:rPr>
          <w:rFonts w:ascii="Calibri" w:hAnsi="Calibri"/>
          <w:b w:val="0"/>
          <w:i/>
          <w:color w:val="222222"/>
          <w:sz w:val="18"/>
        </w:rPr>
        <w:t>End of FairBanks Institutional Transformation Handbook v1.0.1</w:t>
      </w:r>
    </w:p>
    <w:p>
      <w:pPr>
        <w:spacing w:after="40" w:before="0" w:line="269" w:lineRule="auto"/>
        <w:jc w:val="center"/>
      </w:pPr>
      <w:r>
        <w:rPr>
          <w:rFonts w:ascii="Calibri" w:hAnsi="Calibri"/>
          <w:b w:val="0"/>
          <w:i/>
          <w:color w:val="222222"/>
          <w:sz w:val="18"/>
        </w:rPr>
        <w:t>Skeleton: Handbook v1.0.0 · Parent: Blueprint Founding Edition v1.0.1 Master Freeze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