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68665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11"/>
                    <a:stretch>
                      <a:fillRect/>
                    </a:stretch>
                  </pic:blipFill>
                  <pic:spPr>
                    <a:xfrm>
                      <a:off x="0" y="0"/>
                      <a:ext cx="1828800" cy="686650"/>
                    </a:xfrm>
                    <a:prstGeom prst="rect"/>
                  </pic:spPr>
                </pic:pic>
              </a:graphicData>
            </a:graphic>
          </wp:inline>
        </w:drawing>
      </w:r>
    </w:p>
    <w:p>
      <w:pPr>
        <w:spacing w:after="160"/>
        <w:jc w:val="center"/>
      </w:pPr>
      <w:r>
        <w:rPr>
          <w:rFonts w:ascii="Aptos" w:hAnsi="Aptos"/>
          <w:b/>
          <w:i w:val="0"/>
          <w:color w:val="0D6E6E"/>
          <w:sz w:val="26"/>
        </w:rPr>
        <w:t>Africa Health-Tech Accelerator 2026</w:t>
      </w:r>
    </w:p>
    <w:p>
      <w:pPr>
        <w:pStyle w:val="Title"/>
        <w:jc w:val="center"/>
      </w:pPr>
      <w:r>
        <w:t>FairBanks Community Health Intelligence Platform (FCHIP)</w:t>
      </w:r>
    </w:p>
    <w:p>
      <w:pPr>
        <w:spacing w:after="200"/>
        <w:jc w:val="center"/>
      </w:pPr>
      <w:r>
        <w:rPr>
          <w:rFonts w:ascii="Aptos" w:hAnsi="Aptos"/>
          <w:b/>
          <w:i w:val="0"/>
          <w:color w:val="C45C26"/>
          <w:sz w:val="30"/>
        </w:rPr>
        <w:t>From community health signals to timely action across Africa</w:t>
      </w:r>
    </w:p>
    <w:p>
      <w:pPr>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cover_hero_cinematic.jpg"/>
                    <pic:cNvPicPr/>
                  </pic:nvPicPr>
                  <pic:blipFill>
                    <a:blip r:embed="rId12"/>
                    <a:stretch>
                      <a:fillRect/>
                    </a:stretch>
                  </pic:blipFill>
                  <pic:spPr>
                    <a:xfrm>
                      <a:off x="0" y="0"/>
                      <a:ext cx="6217920" cy="3497580"/>
                    </a:xfrm>
                    <a:prstGeom prst="rect"/>
                  </pic:spPr>
                </pic:pic>
              </a:graphicData>
            </a:graphic>
          </wp:inline>
        </w:drawing>
      </w:r>
    </w:p>
    <w:p>
      <w:pPr>
        <w:spacing w:after="160"/>
        <w:jc w:val="center"/>
      </w:pPr>
      <w:r>
        <w:rPr>
          <w:rFonts w:ascii="Aptos" w:hAnsi="Aptos"/>
          <w:b/>
          <w:i w:val="0"/>
          <w:color w:val="0D6E6E"/>
          <w:sz w:val="24"/>
        </w:rPr>
        <w:t>Your health, our mission.</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Application detail</w:t>
            </w:r>
          </w:p>
        </w:tc>
        <w:tc>
          <w:tcPr>
            <w:tcW w:type="dxa" w:w="6912"/>
            <w:shd w:fill="0A1F2E"/>
            <w:tcMar>
              <w:top w:w="80" w:type="dxa"/>
              <w:start w:w="120" w:type="dxa"/>
              <w:bottom w:w="80" w:type="dxa"/>
              <w:end w:w="120" w:type="dxa"/>
            </w:tcMar>
            <w:vAlign w:val="center"/>
          </w:tcPr>
          <w:p>
            <w:r/>
            <w:r>
              <w:rPr>
                <w:rFonts w:ascii="Aptos" w:hAnsi="Aptos"/>
                <w:b/>
                <w:i w:val="0"/>
                <w:color w:val="FFFFFF"/>
                <w:sz w:val="18"/>
              </w:rPr>
              <w:t>Working position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Deadline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20 July 2026 (extended deadline - recheck before submission)</w:t>
            </w:r>
          </w:p>
        </w:tc>
      </w:tr>
      <w:tr>
        <w:tc>
          <w:tcPr>
            <w:tcW w:type="dxa" w:w="2592"/>
            <w:tcMar>
              <w:top w:w="70" w:type="dxa"/>
              <w:start w:w="120" w:type="dxa"/>
              <w:bottom w:w="70" w:type="dxa"/>
              <w:end w:w="120" w:type="dxa"/>
            </w:tcMar>
            <w:vAlign w:val="top"/>
          </w:tcPr>
          <w:p>
            <w:r/>
            <w:r>
              <w:rPr>
                <w:rFonts w:ascii="Aptos" w:hAnsi="Aptos"/>
                <w:b/>
                <w:i w:val="0"/>
                <w:color w:val="1E2F38"/>
                <w:sz w:val="17"/>
              </w:rPr>
              <w:t>Headquarters</w:t>
            </w:r>
          </w:p>
        </w:tc>
        <w:tc>
          <w:tcPr>
            <w:tcW w:type="dxa" w:w="6912"/>
            <w:tcMar>
              <w:top w:w="70" w:type="dxa"/>
              <w:start w:w="120" w:type="dxa"/>
              <w:bottom w:w="70" w:type="dxa"/>
              <w:end w:w="120" w:type="dxa"/>
            </w:tcMar>
            <w:vAlign w:val="top"/>
          </w:tcPr>
          <w:p>
            <w:r/>
            <w:r>
              <w:rPr>
                <w:rFonts w:ascii="Aptos" w:hAnsi="Aptos"/>
                <w:b w:val="0"/>
                <w:i w:val="0"/>
                <w:color w:val="1E2F38"/>
                <w:sz w:val="17"/>
              </w:rPr>
              <w:t>Uganda</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Repo product stage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Pre-MVP / pilot preparation unless a demo exists</w:t>
            </w:r>
          </w:p>
        </w:tc>
      </w:tr>
      <w:tr>
        <w:tc>
          <w:tcPr>
            <w:tcW w:type="dxa" w:w="2592"/>
            <w:tcMar>
              <w:top w:w="70" w:type="dxa"/>
              <w:start w:w="120" w:type="dxa"/>
              <w:bottom w:w="70" w:type="dxa"/>
              <w:end w:w="120" w:type="dxa"/>
            </w:tcMar>
            <w:vAlign w:val="top"/>
          </w:tcPr>
          <w:p>
            <w:r/>
            <w:r>
              <w:rPr>
                <w:rFonts w:ascii="Aptos" w:hAnsi="Aptos"/>
                <w:b/>
                <w:i w:val="0"/>
                <w:color w:val="1E2F38"/>
                <w:sz w:val="17"/>
              </w:rPr>
              <w:t>Document status</w:t>
            </w:r>
          </w:p>
        </w:tc>
        <w:tc>
          <w:tcPr>
            <w:tcW w:type="dxa" w:w="6912"/>
            <w:tcMar>
              <w:top w:w="70" w:type="dxa"/>
              <w:start w:w="120" w:type="dxa"/>
              <w:bottom w:w="70" w:type="dxa"/>
              <w:end w:w="120" w:type="dxa"/>
            </w:tcMar>
            <w:vAlign w:val="top"/>
          </w:tcPr>
          <w:p>
            <w:r/>
            <w:r>
              <w:rPr>
                <w:rFonts w:ascii="Aptos" w:hAnsi="Aptos"/>
                <w:b w:val="0"/>
                <w:i w:val="0"/>
                <w:color w:val="1E2F38"/>
                <w:sz w:val="17"/>
              </w:rPr>
              <w:t>Application draft - FCHIP still appears pre-MVP in repo evidence; identity, commercial, and MVP fields require confirmation</w:t>
            </w:r>
          </w:p>
        </w:tc>
      </w:tr>
    </w:tbl>
    <w:p>
      <w:pPr>
        <w:spacing w:after="20"/>
      </w:pPr>
    </w:p>
    <w:p>
      <w:pPr>
        <w:spacing w:after="100"/>
        <w:jc w:val="center"/>
      </w:pPr>
      <w:r>
        <w:rPr>
          <w:rFonts w:ascii="Aptos" w:hAnsi="Aptos"/>
          <w:b w:val="0"/>
          <w:i/>
          <w:color w:val="52636C"/>
          <w:sz w:val="16"/>
        </w:rPr>
        <w:t>Prepared from the live official programme site and all six sections of the application portal on 19 July 2026.</w:t>
      </w:r>
    </w:p>
    <w:p>
      <w:r>
        <w:br w:type="page"/>
      </w:r>
    </w:p>
    <w:p>
      <w:pPr>
        <w:pStyle w:val="Heading1"/>
        <w:spacing w:before="160" w:after="100"/>
      </w:pPr>
      <w:r>
        <w:t>Submission readiness gate</w:t>
      </w:r>
    </w:p>
    <w:p>
      <w:pPr>
        <w:spacing w:after="100"/>
      </w:pPr>
      <w:r>
        <w:rPr>
          <w:rFonts w:ascii="Aptos" w:hAnsi="Aptos"/>
          <w:b/>
          <w:i w:val="0"/>
          <w:color w:val="A3312D"/>
          <w:sz w:val="20"/>
        </w:rPr>
        <w:t>The portal requires at least two founders and a minimum viable product. The repository confirms strong FairBanks field operations, but current materials describe FCHIP as still being built for pilot. Do not claim MVP stage, paying FCHIP customers, or AI performance without evidence.</w:t>
      </w:r>
    </w:p>
    <w:p>
      <w:pPr>
        <w:pStyle w:val="ListBullet"/>
        <w:spacing w:after="40"/>
      </w:pPr>
      <w:r>
        <w:rPr>
          <w:rFonts w:ascii="Aptos" w:hAnsi="Aptos"/>
          <w:b w:val="0"/>
          <w:i w:val="0"/>
          <w:color w:val="1E2F38"/>
          <w:sz w:val="20"/>
        </w:rPr>
        <w:t>Confirm at least two founders and list every founder with a role.</w:t>
      </w:r>
    </w:p>
    <w:p>
      <w:pPr>
        <w:pStyle w:val="ListBullet"/>
        <w:spacing w:after="40"/>
      </w:pPr>
      <w:r>
        <w:rPr>
          <w:rFonts w:ascii="Aptos" w:hAnsi="Aptos"/>
          <w:b w:val="0"/>
          <w:i w:val="0"/>
          <w:color w:val="1E2F38"/>
          <w:sz w:val="20"/>
        </w:rPr>
        <w:t>Confirm a working FCHIP MVP with a demo or evidence. Repo materials currently describe FCHIP as still being built/piloted, so do not select MVP unless that is no longer true.</w:t>
      </w:r>
    </w:p>
    <w:p>
      <w:pPr>
        <w:pStyle w:val="ListBullet"/>
        <w:spacing w:after="40"/>
      </w:pPr>
      <w:r>
        <w:rPr>
          <w:rFonts w:ascii="Aptos" w:hAnsi="Aptos"/>
          <w:b w:val="0"/>
          <w:i w:val="0"/>
          <w:color w:val="1E2F38"/>
          <w:sz w:val="20"/>
        </w:rPr>
        <w:t>Confirm the presenting founder can attend at least 80% of sessions.</w:t>
      </w:r>
    </w:p>
    <w:p>
      <w:pPr>
        <w:pStyle w:val="ListBullet"/>
        <w:spacing w:after="40"/>
      </w:pPr>
      <w:r>
        <w:rPr>
          <w:rFonts w:ascii="Aptos" w:hAnsi="Aptos"/>
          <w:b w:val="0"/>
          <w:i w:val="0"/>
          <w:color w:val="1E2F38"/>
          <w:sz w:val="20"/>
        </w:rPr>
        <w:t>Replace every CONFIRM BEFORE SUBMISSION field with verified information.</w:t>
      </w:r>
    </w:p>
    <w:p>
      <w:pPr>
        <w:pStyle w:val="ListBullet"/>
        <w:spacing w:after="40"/>
      </w:pPr>
      <w:r>
        <w:rPr>
          <w:rFonts w:ascii="Aptos" w:hAnsi="Aptos"/>
          <w:b w:val="0"/>
          <w:i w:val="0"/>
          <w:color w:val="1E2F38"/>
          <w:sz w:val="20"/>
        </w:rPr>
        <w:t>Upload the pitch deck to a public-access link and test it while signed out.</w:t>
      </w:r>
    </w:p>
    <w:tbl>
      <w:tblPr>
        <w:tblW w:type="auto" w:w="0"/>
        <w:jc w:val="center"/>
        <w:tblLayout w:type="fixed"/>
        <w:tblLook w:firstColumn="1" w:firstRow="1" w:lastColumn="0" w:lastRow="0" w:noHBand="0" w:noVBand="1" w:val="04A0"/>
      </w:tblPr>
      <w:tblGrid>
        <w:gridCol w:w="4917"/>
        <w:gridCol w:w="4917"/>
      </w:tblGrid>
      <w:tr>
        <w:tc>
          <w:tcPr>
            <w:tcW w:type="dxa" w:w="3744"/>
            <w:shd w:fill="0A1F2E"/>
            <w:tcMar>
              <w:top w:w="80" w:type="dxa"/>
              <w:start w:w="120" w:type="dxa"/>
              <w:bottom w:w="80" w:type="dxa"/>
              <w:end w:w="120" w:type="dxa"/>
            </w:tcMar>
            <w:vAlign w:val="center"/>
          </w:tcPr>
          <w:p>
            <w:r/>
            <w:r>
              <w:rPr>
                <w:rFonts w:ascii="Aptos" w:hAnsi="Aptos"/>
                <w:b/>
                <w:i w:val="0"/>
                <w:color w:val="FFFFFF"/>
                <w:sz w:val="18"/>
              </w:rPr>
              <w:t>Critical field</w:t>
            </w:r>
          </w:p>
        </w:tc>
        <w:tc>
          <w:tcPr>
            <w:tcW w:type="dxa" w:w="5760"/>
            <w:shd w:fill="0A1F2E"/>
            <w:tcMar>
              <w:top w:w="80" w:type="dxa"/>
              <w:start w:w="120" w:type="dxa"/>
              <w:bottom w:w="80" w:type="dxa"/>
              <w:end w:w="120" w:type="dxa"/>
            </w:tcMar>
            <w:vAlign w:val="center"/>
          </w:tcPr>
          <w:p>
            <w:r/>
            <w:r>
              <w:rPr>
                <w:rFonts w:ascii="Aptos" w:hAnsi="Aptos"/>
                <w:b/>
                <w:i w:val="0"/>
                <w:color w:val="FFFFFF"/>
                <w:sz w:val="18"/>
              </w:rPr>
              <w:t>Current status</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Founder identity and contacts</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Co-founders and roles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Working FCHIP MVP evidence</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 - currently pre-MVP in repo</w:t>
            </w:r>
          </w:p>
        </w:tc>
      </w:tr>
      <w:tr>
        <w:tc>
          <w:tcPr>
            <w:tcW w:type="dxa" w:w="3744"/>
            <w:tcMar>
              <w:top w:w="100" w:type="dxa"/>
              <w:start w:w="120" w:type="dxa"/>
              <w:bottom w:w="100" w:type="dxa"/>
              <w:end w:w="120" w:type="dxa"/>
            </w:tcMar>
            <w:vAlign w:val="top"/>
          </w:tcPr>
          <w:p>
            <w:r/>
            <w:r>
              <w:rPr>
                <w:rFonts w:ascii="Aptos" w:hAnsi="Aptos"/>
                <w:b/>
                <w:i w:val="0"/>
                <w:color w:val="1E2F38"/>
                <w:sz w:val="18"/>
              </w:rPr>
              <w:t>Revenue and paying customers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Funding raised and partner list</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Website and public pitch-deck link</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bl>
    <w:p>
      <w:pPr>
        <w:spacing w:after="20"/>
      </w:pPr>
    </w:p>
    <w:p>
      <w:pPr>
        <w:pStyle w:val="Heading1"/>
        <w:spacing w:before="160" w:after="100"/>
      </w:pPr>
      <w:r>
        <w:t>1. Official programme brief</w:t>
      </w:r>
    </w:p>
    <w:tbl>
      <w:tblPr>
        <w:tblW w:type="auto" w:w="0"/>
        <w:jc w:val="center"/>
        <w:tblLayout w:type="fixed"/>
        <w:tblLook w:firstColumn="1" w:firstRow="1" w:lastColumn="0" w:lastRow="0" w:noHBand="0" w:noVBand="1" w:val="04A0"/>
      </w:tblPr>
      <w:tblGrid>
        <w:gridCol w:w="4917"/>
        <w:gridCol w:w="4917"/>
      </w:tblGrid>
      <w:tr>
        <w:tc>
          <w:tcPr>
            <w:tcW w:type="dxa" w:w="2304"/>
            <w:shd w:fill="0A1F2E"/>
            <w:tcMar>
              <w:top w:w="80" w:type="dxa"/>
              <w:start w:w="120" w:type="dxa"/>
              <w:bottom w:w="80" w:type="dxa"/>
              <w:end w:w="120" w:type="dxa"/>
            </w:tcMar>
            <w:vAlign w:val="center"/>
          </w:tcPr>
          <w:p>
            <w:r/>
            <w:r>
              <w:rPr>
                <w:rFonts w:ascii="Aptos" w:hAnsi="Aptos"/>
                <w:b/>
                <w:i w:val="0"/>
                <w:color w:val="FFFFFF"/>
                <w:sz w:val="18"/>
              </w:rPr>
              <w:t>Item</w:t>
            </w:r>
          </w:p>
        </w:tc>
        <w:tc>
          <w:tcPr>
            <w:tcW w:type="dxa" w:w="7200"/>
            <w:shd w:fill="0A1F2E"/>
            <w:tcMar>
              <w:top w:w="80" w:type="dxa"/>
              <w:start w:w="120" w:type="dxa"/>
              <w:bottom w:w="80" w:type="dxa"/>
              <w:end w:w="120" w:type="dxa"/>
            </w:tcMar>
            <w:vAlign w:val="center"/>
          </w:tcPr>
          <w:p>
            <w:r/>
            <w:r>
              <w:rPr>
                <w:rFonts w:ascii="Aptos" w:hAnsi="Aptos"/>
                <w:b/>
                <w:i w:val="0"/>
                <w:color w:val="FFFFFF"/>
                <w:sz w:val="18"/>
              </w:rPr>
              <w:t>Verified call information</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Programme</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Six-month pan-African health-tech accelerator</w:t>
            </w:r>
          </w:p>
        </w:tc>
      </w:tr>
      <w:tr>
        <w:tc>
          <w:tcPr>
            <w:tcW w:type="dxa" w:w="2304"/>
            <w:tcMar>
              <w:top w:w="100" w:type="dxa"/>
              <w:start w:w="120" w:type="dxa"/>
              <w:bottom w:w="100" w:type="dxa"/>
              <w:end w:w="120" w:type="dxa"/>
            </w:tcMar>
            <w:vAlign w:val="top"/>
          </w:tcPr>
          <w:p>
            <w:r/>
            <w:r>
              <w:rPr>
                <w:rFonts w:ascii="Aptos" w:hAnsi="Aptos"/>
                <w:b/>
                <w:i w:val="0"/>
                <w:color w:val="1E2F38"/>
                <w:sz w:val="18"/>
              </w:rPr>
              <w:t>Delivery</w:t>
            </w:r>
          </w:p>
        </w:tc>
        <w:tc>
          <w:tcPr>
            <w:tcW w:type="dxa" w:w="7200"/>
            <w:tcMar>
              <w:top w:w="100" w:type="dxa"/>
              <w:start w:w="120" w:type="dxa"/>
              <w:bottom w:w="100" w:type="dxa"/>
              <w:end w:w="120" w:type="dxa"/>
            </w:tcMar>
            <w:vAlign w:val="top"/>
          </w:tcPr>
          <w:p>
            <w:r/>
            <w:r>
              <w:rPr>
                <w:rFonts w:ascii="Aptos" w:hAnsi="Aptos"/>
                <w:b w:val="0"/>
                <w:i w:val="0"/>
                <w:color w:val="1E2F38"/>
                <w:sz w:val="18"/>
              </w:rPr>
              <w:t>Primarily online, with one in-person milestone event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Applicant</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Africa-based early-stage health-tech startup or SME</w:t>
            </w:r>
          </w:p>
        </w:tc>
      </w:tr>
      <w:tr>
        <w:tc>
          <w:tcPr>
            <w:tcW w:type="dxa" w:w="2304"/>
            <w:tcMar>
              <w:top w:w="100" w:type="dxa"/>
              <w:start w:w="120" w:type="dxa"/>
              <w:bottom w:w="100" w:type="dxa"/>
              <w:end w:w="120" w:type="dxa"/>
            </w:tcMar>
            <w:vAlign w:val="top"/>
          </w:tcPr>
          <w:p>
            <w:r/>
            <w:r>
              <w:rPr>
                <w:rFonts w:ascii="Aptos" w:hAnsi="Aptos"/>
                <w:b/>
                <w:i w:val="0"/>
                <w:color w:val="1E2F38"/>
                <w:sz w:val="18"/>
              </w:rPr>
              <w:t>Eligibility</w:t>
            </w:r>
          </w:p>
        </w:tc>
        <w:tc>
          <w:tcPr>
            <w:tcW w:type="dxa" w:w="7200"/>
            <w:tcMar>
              <w:top w:w="100" w:type="dxa"/>
              <w:start w:w="120" w:type="dxa"/>
              <w:bottom w:w="100" w:type="dxa"/>
              <w:end w:w="120" w:type="dxa"/>
            </w:tcMar>
            <w:vAlign w:val="top"/>
          </w:tcPr>
          <w:p>
            <w:r/>
            <w:r>
              <w:rPr>
                <w:rFonts w:ascii="Aptos" w:hAnsi="Aptos"/>
                <w:b w:val="0"/>
                <w:i w:val="0"/>
                <w:color w:val="1E2F38"/>
                <w:sz w:val="18"/>
              </w:rPr>
              <w:t>At least two founders; minimum MVP; 80% session commitment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Benefits</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Training, one-to-one mentorship, seed-funding opportunity, investor access, Demo Day exposure, and continental visibility</w:t>
            </w:r>
          </w:p>
        </w:tc>
      </w:tr>
      <w:tr>
        <w:tc>
          <w:tcPr>
            <w:tcW w:type="dxa" w:w="2304"/>
            <w:tcMar>
              <w:top w:w="100" w:type="dxa"/>
              <w:start w:w="120" w:type="dxa"/>
              <w:bottom w:w="100" w:type="dxa"/>
              <w:end w:w="120" w:type="dxa"/>
            </w:tcMar>
            <w:vAlign w:val="top"/>
          </w:tcPr>
          <w:p>
            <w:r/>
            <w:r>
              <w:rPr>
                <w:rFonts w:ascii="Aptos" w:hAnsi="Aptos"/>
                <w:b/>
                <w:i w:val="0"/>
                <w:color w:val="1E2F38"/>
                <w:sz w:val="18"/>
              </w:rPr>
              <w:t>Deadline</w:t>
            </w:r>
          </w:p>
        </w:tc>
        <w:tc>
          <w:tcPr>
            <w:tcW w:type="dxa" w:w="7200"/>
            <w:tcMar>
              <w:top w:w="100" w:type="dxa"/>
              <w:start w:w="120" w:type="dxa"/>
              <w:bottom w:w="100" w:type="dxa"/>
              <w:end w:w="120" w:type="dxa"/>
            </w:tcMar>
            <w:vAlign w:val="top"/>
          </w:tcPr>
          <w:p>
            <w:r/>
            <w:r>
              <w:rPr>
                <w:rFonts w:ascii="Aptos" w:hAnsi="Aptos"/>
                <w:b w:val="0"/>
                <w:i w:val="0"/>
                <w:color w:val="1E2F38"/>
                <w:sz w:val="18"/>
              </w:rPr>
              <w:t>20 July 2026 (extended deadline - recheck before submission)</w:t>
            </w:r>
          </w:p>
        </w:tc>
      </w:tr>
    </w:tbl>
    <w:p>
      <w:pPr>
        <w:spacing w:after="20"/>
      </w:pPr>
    </w:p>
    <w:p>
      <w:pPr>
        <w:pStyle w:val="Heading2"/>
        <w:spacing w:before="160" w:after="100"/>
      </w:pPr>
      <w:r>
        <w:t>1.1 Strong fit with FCHIP</w:t>
      </w:r>
    </w:p>
    <w:p>
      <w:pPr>
        <w:pStyle w:val="ListBullet"/>
        <w:spacing w:after="40"/>
      </w:pPr>
      <w:r>
        <w:rPr>
          <w:rFonts w:ascii="Aptos" w:hAnsi="Aptos"/>
          <w:b w:val="0"/>
          <w:i w:val="0"/>
          <w:color w:val="1E2F38"/>
          <w:sz w:val="20"/>
        </w:rPr>
        <w:t>Digital health platform with health data and analytics at its core.</w:t>
      </w:r>
    </w:p>
    <w:p>
      <w:pPr>
        <w:pStyle w:val="ListBullet"/>
        <w:spacing w:after="40"/>
      </w:pPr>
      <w:r>
        <w:rPr>
          <w:rFonts w:ascii="Aptos" w:hAnsi="Aptos"/>
          <w:b w:val="0"/>
          <w:i w:val="0"/>
          <w:color w:val="1E2F38"/>
          <w:sz w:val="20"/>
        </w:rPr>
        <w:t>AI-assisted risk insight, used only after validation and clinical oversight.</w:t>
      </w:r>
    </w:p>
    <w:p>
      <w:pPr>
        <w:pStyle w:val="ListBullet"/>
        <w:spacing w:after="40"/>
      </w:pPr>
      <w:r>
        <w:rPr>
          <w:rFonts w:ascii="Aptos" w:hAnsi="Aptos"/>
          <w:b w:val="0"/>
          <w:i w:val="0"/>
          <w:color w:val="1E2F38"/>
          <w:sz w:val="20"/>
        </w:rPr>
        <w:t>Preventive health, remote monitoring, secure EMR/HMS APIs, and supply planning.</w:t>
      </w:r>
    </w:p>
    <w:p>
      <w:pPr>
        <w:pStyle w:val="ListBullet"/>
        <w:spacing w:after="40"/>
      </w:pPr>
      <w:r>
        <w:rPr>
          <w:rFonts w:ascii="Aptos" w:hAnsi="Aptos"/>
          <w:b w:val="0"/>
          <w:i w:val="0"/>
          <w:color w:val="1E2F38"/>
          <w:sz w:val="20"/>
        </w:rPr>
        <w:t>Africa-based product with a clear Uganda-to-East-Africa scale path.</w:t>
      </w:r>
    </w:p>
    <w:p>
      <w:pPr>
        <w:pStyle w:val="ListBullet"/>
        <w:spacing w:after="40"/>
      </w:pPr>
      <w:r>
        <w:rPr>
          <w:rFonts w:ascii="Aptos" w:hAnsi="Aptos"/>
          <w:b w:val="0"/>
          <w:i w:val="0"/>
          <w:color w:val="1E2F38"/>
          <w:sz w:val="20"/>
        </w:rPr>
        <w:t>A live care and outreach environment for real-world product validation.</w:t>
      </w:r>
    </w:p>
    <w:p>
      <w:pPr>
        <w:pStyle w:val="Heading2"/>
        <w:spacing w:before="160" w:after="100"/>
      </w:pPr>
      <w:r>
        <w:t>1.2 Programme journey</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Stage</w:t>
            </w:r>
          </w:p>
        </w:tc>
        <w:tc>
          <w:tcPr>
            <w:tcW w:type="dxa" w:w="6912"/>
            <w:shd w:fill="0A1F2E"/>
            <w:tcMar>
              <w:top w:w="80" w:type="dxa"/>
              <w:start w:w="120" w:type="dxa"/>
              <w:bottom w:w="80" w:type="dxa"/>
              <w:end w:w="120" w:type="dxa"/>
            </w:tcMar>
            <w:vAlign w:val="center"/>
          </w:tcPr>
          <w:p>
            <w:r/>
            <w:r>
              <w:rPr>
                <w:rFonts w:ascii="Aptos" w:hAnsi="Aptos"/>
                <w:b/>
                <w:i w:val="0"/>
                <w:color w:val="FFFFFF"/>
                <w:sz w:val="18"/>
              </w:rPr>
              <w:t>Official programme description</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Open call</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Application and screening; deadline extended to 20 July 2026</w:t>
            </w:r>
          </w:p>
        </w:tc>
      </w:tr>
      <w:tr>
        <w:tc>
          <w:tcPr>
            <w:tcW w:type="dxa" w:w="2592"/>
            <w:tcMar>
              <w:top w:w="100" w:type="dxa"/>
              <w:start w:w="120" w:type="dxa"/>
              <w:bottom w:w="100" w:type="dxa"/>
              <w:end w:w="120" w:type="dxa"/>
            </w:tcMar>
            <w:vAlign w:val="top"/>
          </w:tcPr>
          <w:p>
            <w:r/>
            <w:r>
              <w:rPr>
                <w:rFonts w:ascii="Aptos" w:hAnsi="Aptos"/>
                <w:b/>
                <w:i w:val="0"/>
                <w:color w:val="1E2F38"/>
                <w:sz w:val="18"/>
              </w:rPr>
              <w:t>Bootcamp and selection</w:t>
            </w:r>
          </w:p>
        </w:tc>
        <w:tc>
          <w:tcPr>
            <w:tcW w:type="dxa" w:w="6912"/>
            <w:tcMar>
              <w:top w:w="100" w:type="dxa"/>
              <w:start w:w="120" w:type="dxa"/>
              <w:bottom w:w="100" w:type="dxa"/>
              <w:end w:w="120" w:type="dxa"/>
            </w:tcMar>
            <w:vAlign w:val="top"/>
          </w:tcPr>
          <w:p>
            <w:r/>
            <w:r>
              <w:rPr>
                <w:rFonts w:ascii="Aptos" w:hAnsi="Aptos"/>
                <w:b w:val="0"/>
                <w:i w:val="0"/>
                <w:color w:val="1E2F38"/>
                <w:sz w:val="18"/>
              </w:rPr>
              <w:t>Intensive virtual bootcamp; up to 50 startups targeted</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Accelerator</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Weekly sessions, office hours, and Demo Day preparation</w:t>
            </w:r>
          </w:p>
        </w:tc>
      </w:tr>
      <w:tr>
        <w:tc>
          <w:tcPr>
            <w:tcW w:type="dxa" w:w="2592"/>
            <w:tcMar>
              <w:top w:w="100" w:type="dxa"/>
              <w:start w:w="120" w:type="dxa"/>
              <w:bottom w:w="100" w:type="dxa"/>
              <w:end w:w="120" w:type="dxa"/>
            </w:tcMar>
            <w:vAlign w:val="top"/>
          </w:tcPr>
          <w:p>
            <w:r/>
            <w:r>
              <w:rPr>
                <w:rFonts w:ascii="Aptos" w:hAnsi="Aptos"/>
                <w:b/>
                <w:i w:val="0"/>
                <w:color w:val="1E2F38"/>
                <w:sz w:val="18"/>
              </w:rPr>
              <w:t>Closing event</w:t>
            </w:r>
          </w:p>
        </w:tc>
        <w:tc>
          <w:tcPr>
            <w:tcW w:type="dxa" w:w="6912"/>
            <w:tcMar>
              <w:top w:w="100" w:type="dxa"/>
              <w:start w:w="120" w:type="dxa"/>
              <w:bottom w:w="100" w:type="dxa"/>
              <w:end w:w="120" w:type="dxa"/>
            </w:tcMar>
            <w:vAlign w:val="top"/>
          </w:tcPr>
          <w:p>
            <w:r/>
            <w:r>
              <w:rPr>
                <w:rFonts w:ascii="Aptos" w:hAnsi="Aptos"/>
                <w:b w:val="0"/>
                <w:i w:val="0"/>
                <w:color w:val="1E2F38"/>
                <w:sz w:val="18"/>
              </w:rPr>
              <w:t>Pitching, winner announcement, and funding pathway</w:t>
            </w:r>
          </w:p>
        </w:tc>
      </w:tr>
    </w:tbl>
    <w:p>
      <w:pPr>
        <w:spacing w:after="20"/>
      </w:pPr>
    </w:p>
    <w:p>
      <w:r>
        <w:br w:type="page"/>
      </w:r>
    </w:p>
    <w:p>
      <w:pPr>
        <w:pStyle w:val="Heading1"/>
        <w:spacing w:before="160" w:after="100"/>
      </w:pPr>
      <w:r>
        <w:t>2. Portal answer bank</w:t>
      </w:r>
    </w:p>
    <w:p>
      <w:pPr>
        <w:spacing w:after="100"/>
      </w:pPr>
      <w:r>
        <w:rPr>
          <w:rFonts w:ascii="Aptos" w:hAnsi="Aptos"/>
          <w:b w:val="0"/>
          <w:i/>
          <w:color w:val="1E2F38"/>
          <w:sz w:val="20"/>
        </w:rPr>
        <w:t>Copy only verified answers into the live portal. The wording below is submission-ready where facts are known; orange/red fields require the applicant.</w:t>
      </w:r>
    </w:p>
    <w:p>
      <w:pPr>
        <w:pStyle w:val="Heading2"/>
        <w:spacing w:before="160" w:after="100"/>
      </w:pPr>
      <w:r>
        <w:t>Section 1 of 6 - Startup and founding team</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Name*</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FairBanks Community Health Intelligence Platform (FCHIP)</w:t>
            </w:r>
          </w:p>
        </w:tc>
      </w:tr>
      <w:tr>
        <w:tc>
          <w:tcPr>
            <w:tcW w:type="dxa" w:w="3096"/>
            <w:tcMar>
              <w:top w:w="70" w:type="dxa"/>
              <w:start w:w="120" w:type="dxa"/>
              <w:bottom w:w="70" w:type="dxa"/>
              <w:end w:w="120" w:type="dxa"/>
            </w:tcMar>
            <w:vAlign w:val="top"/>
          </w:tcPr>
          <w:p>
            <w:r/>
            <w:r>
              <w:rPr>
                <w:rFonts w:ascii="Aptos" w:hAnsi="Aptos"/>
                <w:b/>
                <w:i w:val="0"/>
                <w:color w:val="1E2F38"/>
                <w:sz w:val="17"/>
              </w:rPr>
              <w:t>Founder Name*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Gender*</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Male or Female]</w:t>
            </w:r>
          </w:p>
        </w:tc>
      </w:tr>
      <w:tr>
        <w:tc>
          <w:tcPr>
            <w:tcW w:type="dxa" w:w="3096"/>
            <w:tcMar>
              <w:top w:w="70" w:type="dxa"/>
              <w:start w:w="120" w:type="dxa"/>
              <w:bottom w:w="70" w:type="dxa"/>
              <w:end w:w="120" w:type="dxa"/>
            </w:tcMar>
            <w:vAlign w:val="top"/>
          </w:tcPr>
          <w:p>
            <w:r/>
            <w:r>
              <w:rPr>
                <w:rFonts w:ascii="Aptos" w:hAnsi="Aptos"/>
                <w:b/>
                <w:i w:val="0"/>
                <w:color w:val="1E2F38"/>
                <w:sz w:val="17"/>
              </w:rPr>
              <w:t>Founder Mobile*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Email*</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Founder LinkedIn</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Website*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Startup Stage*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Repo evidence points to pre-MVP / pilot preparation. Select MVP only if a working product can be demonstrated - the programme requires an MVP.]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Country Headquarter*</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Primary African office if headquarters is outside Africa</w:t>
            </w:r>
          </w:p>
        </w:tc>
        <w:tc>
          <w:tcPr>
            <w:tcW w:type="dxa" w:w="6408"/>
            <w:tcMar>
              <w:top w:w="70" w:type="dxa"/>
              <w:start w:w="120" w:type="dxa"/>
              <w:bottom w:w="70" w:type="dxa"/>
              <w:end w:w="120" w:type="dxa"/>
            </w:tcMar>
            <w:vAlign w:val="top"/>
          </w:tcPr>
          <w:p>
            <w:r/>
            <w:r>
              <w:rPr>
                <w:rFonts w:ascii="Aptos" w:hAnsi="Aptos"/>
                <w:b w:val="0"/>
                <w:i w:val="0"/>
                <w:color w:val="1E2F38"/>
                <w:sz w:val="17"/>
              </w:rPr>
              <w:t>Not applicable</w:t>
            </w:r>
          </w:p>
        </w:tc>
      </w:tr>
    </w:tbl>
    <w:p>
      <w:pPr>
        <w:spacing w:after="20"/>
      </w:pPr>
    </w:p>
    <w:p>
      <w:pPr>
        <w:pStyle w:val="Heading2"/>
        <w:spacing w:before="160" w:after="100"/>
      </w:pPr>
      <w:r>
        <w:t>Section 2 of 6 - Startup overview</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Problem Are You Solving?*</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Primary healthcare in underserved African communities is still reactive. Facilities often see people only after illness has worsened, while useful signals from CHW and VHT visits, outreach screenings, maternal care, pharmacy activity, and facility records remain fragmented. Clinical data often stays locked inside existing EMR or hospital management systems, so community and facility intelligence cannot fuse in real time. This delays outbreak detection, high-risk pregnancy referral, NCD follow-up, and medicine planning. Clinics and district teams therefore lack a timely, community-level view of who is at risk, where health threats are growing, and what action should happen next.</w:t>
            </w:r>
          </w:p>
        </w:tc>
      </w:tr>
      <w:tr>
        <w:tc>
          <w:tcPr>
            <w:tcW w:type="dxa" w:w="3096"/>
            <w:tcMar>
              <w:top w:w="70" w:type="dxa"/>
              <w:start w:w="120" w:type="dxa"/>
              <w:bottom w:w="70" w:type="dxa"/>
              <w:end w:w="120" w:type="dxa"/>
            </w:tcMar>
            <w:vAlign w:val="top"/>
          </w:tcPr>
          <w:p>
            <w:r/>
            <w:r>
              <w:rPr>
                <w:rFonts w:ascii="Aptos" w:hAnsi="Aptos"/>
                <w:b/>
                <w:i w:val="0"/>
                <w:color w:val="1E2F38"/>
                <w:sz w:val="17"/>
              </w:rPr>
              <w:t>What is Your Solution?*</w:t>
            </w:r>
          </w:p>
        </w:tc>
        <w:tc>
          <w:tcPr>
            <w:tcW w:type="dxa" w:w="6408"/>
            <w:tcMar>
              <w:top w:w="70" w:type="dxa"/>
              <w:start w:w="120" w:type="dxa"/>
              <w:bottom w:w="70" w:type="dxa"/>
              <w:end w:w="120" w:type="dxa"/>
            </w:tcMar>
            <w:vAlign w:val="top"/>
          </w:tcPr>
          <w:p>
            <w:r/>
            <w:r>
              <w:rPr>
                <w:rFonts w:ascii="Aptos" w:hAnsi="Aptos"/>
                <w:b w:val="0"/>
                <w:i w:val="0"/>
                <w:color w:val="1E2F38"/>
                <w:sz w:val="17"/>
              </w:rPr>
              <w:t>FCHIP is an offline-capable community health intelligence platform. CHWs and VHTs capture structured household and outreach data through mobile tools; approved facility and programme data are synchronized securely; and FCHIP safely exposes authenticated data APIs to existing EMR and HMS systems so clinics can share clinical records into the platform in real time without replacing the software they already use. An analytics layer produces risk flags, GIS hotspot maps, referrals, and dashboards. The first release focuses on three practical use cases: maternal risk and missed-care alerts, hypertension and diabetes hotspot detection, and community disease surveillance. FairBanks will validate the product in its existing medical centre and Community Reach network before expanding to partner clinics and districts.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Who Are Your Target Customers?*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Private and faith-based clinics, district health offices, the Ministry of Health, Uganda health federations, NGOs and development programmes, universities and other teaching and research institutions, and health insurers that need better community-level data, follow-up, early warning, and programme monitoring. CHWs and VHTs are the core frontline users.</w:t>
            </w:r>
          </w:p>
        </w:tc>
      </w:tr>
      <w:tr>
        <w:tc>
          <w:tcPr>
            <w:tcW w:type="dxa" w:w="3096"/>
            <w:tcMar>
              <w:top w:w="70" w:type="dxa"/>
              <w:start w:w="120" w:type="dxa"/>
              <w:bottom w:w="70" w:type="dxa"/>
              <w:end w:w="120" w:type="dxa"/>
            </w:tcMar>
            <w:vAlign w:val="top"/>
          </w:tcPr>
          <w:p>
            <w:r/>
            <w:r>
              <w:rPr>
                <w:rFonts w:ascii="Aptos" w:hAnsi="Aptos"/>
                <w:b/>
                <w:i w:val="0"/>
                <w:color w:val="1E2F38"/>
                <w:sz w:val="17"/>
              </w:rPr>
              <w:t>Startup Innovation Area*</w:t>
            </w:r>
          </w:p>
        </w:tc>
        <w:tc>
          <w:tcPr>
            <w:tcW w:type="dxa" w:w="6408"/>
            <w:tcMar>
              <w:top w:w="70" w:type="dxa"/>
              <w:start w:w="120" w:type="dxa"/>
              <w:bottom w:w="70" w:type="dxa"/>
              <w:end w:w="120" w:type="dxa"/>
            </w:tcMar>
            <w:vAlign w:val="top"/>
          </w:tcPr>
          <w:p>
            <w:r/>
            <w:r>
              <w:rPr>
                <w:rFonts w:ascii="Aptos" w:hAnsi="Aptos"/>
                <w:b w:val="0"/>
                <w:i w:val="0"/>
                <w:color w:val="1E2F38"/>
                <w:sz w:val="17"/>
              </w:rPr>
              <w:t>Select: Digital Health Platforms; Health Data &amp; Analytics; Artificial Intelligence in Healthcare; Electronic Health Records; Remote Patient Monitoring; Preventive Health &amp; Wellness Technologies. Add Pharmaceutical Supply Chain Solutions only if medicine forecasting is in the MVP.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areas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Community health intelligence and CHW/VHT decision support</w:t>
            </w:r>
          </w:p>
        </w:tc>
      </w:tr>
      <w:tr>
        <w:tc>
          <w:tcPr>
            <w:tcW w:type="dxa" w:w="3096"/>
            <w:tcMar>
              <w:top w:w="70" w:type="dxa"/>
              <w:start w:w="120" w:type="dxa"/>
              <w:bottom w:w="70" w:type="dxa"/>
              <w:end w:w="120" w:type="dxa"/>
            </w:tcMar>
            <w:vAlign w:val="top"/>
          </w:tcPr>
          <w:p>
            <w:r/>
            <w:r>
              <w:rPr>
                <w:rFonts w:ascii="Aptos" w:hAnsi="Aptos"/>
                <w:b/>
                <w:i w:val="0"/>
                <w:color w:val="1E2F38"/>
                <w:sz w:val="17"/>
              </w:rPr>
              <w:t>What Makes Your Solution Unique?*</w:t>
            </w:r>
          </w:p>
        </w:tc>
        <w:tc>
          <w:tcPr>
            <w:tcW w:type="dxa" w:w="6408"/>
            <w:tcMar>
              <w:top w:w="70" w:type="dxa"/>
              <w:start w:w="120" w:type="dxa"/>
              <w:bottom w:w="70" w:type="dxa"/>
              <w:end w:w="120" w:type="dxa"/>
            </w:tcMar>
            <w:vAlign w:val="top"/>
          </w:tcPr>
          <w:p>
            <w:r/>
            <w:r>
              <w:rPr>
                <w:rFonts w:ascii="Aptos" w:hAnsi="Aptos"/>
                <w:b w:val="0"/>
                <w:i w:val="0"/>
                <w:color w:val="1E2F38"/>
                <w:sz w:val="17"/>
              </w:rPr>
              <w:t>FairBanks combines what many health-tech startups and facilities lack: a live medical centre, active outreach programmes, CHW and VHT links, digital health workflows, and a product designed from real community care. This gives FCHIP a direct test environment and a trusted route to users. Secure EMR/HMS data APIs let facilities plug clinical feeds into FCHIP without ripping out existing systems. The platform is not only an electronic register; it closes the loop from community and facility signal to risk insight, referral, targeted outreach, and follow-up.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Which Countries Are You Operating In?*</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Pitch Deck (upload link)*</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upload the generated PPT/PDF to Google Drive or another public link; test access while signed out]</w:t>
            </w:r>
          </w:p>
        </w:tc>
      </w:tr>
    </w:tbl>
    <w:p>
      <w:pPr>
        <w:spacing w:after="20"/>
      </w:pPr>
    </w:p>
    <w:p>
      <w:pPr>
        <w:pStyle w:val="Heading2"/>
        <w:spacing w:before="160" w:after="100"/>
      </w:pPr>
      <w:r>
        <w:t>Section 3 of 6 - Eligibility screening</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Is your startup based in Africa?*</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Yes - Uganda</w:t>
            </w:r>
          </w:p>
        </w:tc>
      </w:tr>
      <w:tr>
        <w:tc>
          <w:tcPr>
            <w:tcW w:type="dxa" w:w="3096"/>
            <w:tcMar>
              <w:top w:w="70" w:type="dxa"/>
              <w:start w:w="120" w:type="dxa"/>
              <w:bottom w:w="70" w:type="dxa"/>
              <w:end w:w="120" w:type="dxa"/>
            </w:tcMar>
            <w:vAlign w:val="top"/>
          </w:tcPr>
          <w:p>
            <w:r/>
            <w:r>
              <w:rPr>
                <w:rFonts w:ascii="Aptos" w:hAnsi="Aptos"/>
                <w:b/>
                <w:i w:val="0"/>
                <w:color w:val="1E2F38"/>
                <w:sz w:val="17"/>
              </w:rPr>
              <w:t>Does your startup provide a Health-Tech product/service?*</w:t>
            </w:r>
          </w:p>
        </w:tc>
        <w:tc>
          <w:tcPr>
            <w:tcW w:type="dxa" w:w="6408"/>
            <w:tcMar>
              <w:top w:w="70" w:type="dxa"/>
              <w:start w:w="120" w:type="dxa"/>
              <w:bottom w:w="70" w:type="dxa"/>
              <w:end w:w="120" w:type="dxa"/>
            </w:tcMar>
            <w:vAlign w:val="top"/>
          </w:tcPr>
          <w:p>
            <w:r/>
            <w:r>
              <w:rPr>
                <w:rFonts w:ascii="Aptos" w:hAnsi="Aptos"/>
                <w:b w:val="0"/>
                <w:i w:val="0"/>
                <w:color w:val="1E2F38"/>
                <w:sz w:val="17"/>
              </w:rPr>
              <w:t>Yes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Co-Founder Names and Roles*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Total Founders (including yourself)*</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minimum 2]</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Can you commit to 80%+ of programme sessions?*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select Yes only if true]</w:t>
            </w:r>
          </w:p>
        </w:tc>
      </w:tr>
    </w:tbl>
    <w:p>
      <w:pPr>
        <w:spacing w:after="20"/>
      </w:pPr>
    </w:p>
    <w:p>
      <w:pPr>
        <w:pStyle w:val="Heading2"/>
        <w:spacing w:before="160" w:after="100"/>
      </w:pPr>
      <w:r>
        <w:t>Section 4 of 6 - Traction and readiness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Monthly Revenue Range*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Less than $5,000 / $5,000-$20,000 / $20,000-$50,000 / $50,000+]</w:t>
            </w:r>
          </w:p>
        </w:tc>
      </w:tr>
      <w:tr>
        <w:tc>
          <w:tcPr>
            <w:tcW w:type="dxa" w:w="3096"/>
            <w:tcMar>
              <w:top w:w="70" w:type="dxa"/>
              <w:start w:w="120" w:type="dxa"/>
              <w:bottom w:w="70" w:type="dxa"/>
              <w:end w:w="120" w:type="dxa"/>
            </w:tcMar>
            <w:vAlign w:val="top"/>
          </w:tcPr>
          <w:p>
            <w:r/>
            <w:r>
              <w:rPr>
                <w:rFonts w:ascii="Aptos" w:hAnsi="Aptos"/>
                <w:b/>
                <w:i w:val="0"/>
                <w:color w:val="1E2F38"/>
                <w:sz w:val="17"/>
              </w:rPr>
              <w:t>Number of Paying Customers*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0 / 1-10 / 11-50 / 51-200 / 200+]</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Fundraising in the next 6 months?*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vAlign w:val="top"/>
          </w:tcPr>
          <w:p>
            <w:r/>
            <w:r>
              <w:rPr>
                <w:rFonts w:ascii="Aptos" w:hAnsi="Aptos"/>
                <w:b/>
                <w:i w:val="0"/>
                <w:color w:val="1E2F38"/>
                <w:sz w:val="17"/>
              </w:rPr>
              <w:t>Raised funding before?*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If yes, amount raised (USD)</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Current Partners*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Do not count a prospective partner. Portal options: Hospitals/Clinics; Pharma; Insurers; NGOs; Government; Corporates; Universities; None Yet.]</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Partners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Next 6-Month Milestone*</w:t>
            </w:r>
          </w:p>
        </w:tc>
        <w:tc>
          <w:tcPr>
            <w:tcW w:type="dxa" w:w="6408"/>
            <w:tcMar>
              <w:top w:w="70" w:type="dxa"/>
              <w:start w:w="120" w:type="dxa"/>
              <w:bottom w:w="70" w:type="dxa"/>
              <w:end w:w="120" w:type="dxa"/>
            </w:tcMar>
            <w:vAlign w:val="top"/>
          </w:tcPr>
          <w:p>
            <w:r/>
            <w:r>
              <w:rPr>
                <w:rFonts w:ascii="Aptos" w:hAnsi="Aptos"/>
                <w:b w:val="0"/>
                <w:i w:val="0"/>
                <w:color w:val="1E2F38"/>
                <w:sz w:val="17"/>
              </w:rPr>
              <w:t>Recommended if MVP is verified: Validate product-market fit. Otherwise FairBanks is not yet eligible under the stated MVP rule.</w:t>
            </w:r>
          </w:p>
        </w:tc>
      </w:tr>
    </w:tbl>
    <w:p>
      <w:pPr>
        <w:spacing w:after="20"/>
      </w:pPr>
    </w:p>
    <w:p>
      <w:pPr>
        <w:pStyle w:val="Heading2"/>
        <w:spacing w:before="160" w:after="100"/>
      </w:pPr>
      <w:r>
        <w:t>Section 5 of 6 - Expected support</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Top 3 Priorities*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1. Validation &amp; Market Research; 2. Product Development (MVP, UX, iteration); 3. Partnerships &amp; Ecosystem Access.</w:t>
            </w:r>
          </w:p>
        </w:tc>
      </w:tr>
      <w:tr>
        <w:tc>
          <w:tcPr>
            <w:tcW w:type="dxa" w:w="3096"/>
            <w:tcMar>
              <w:top w:w="70" w:type="dxa"/>
              <w:start w:w="120" w:type="dxa"/>
              <w:bottom w:w="70" w:type="dxa"/>
              <w:end w:w="120" w:type="dxa"/>
            </w:tcMar>
            <w:vAlign w:val="top"/>
          </w:tcPr>
          <w:p>
            <w:r/>
            <w:r>
              <w:rPr>
                <w:rFonts w:ascii="Aptos" w:hAnsi="Aptos"/>
                <w:b/>
                <w:i w:val="0"/>
                <w:color w:val="1E2F38"/>
                <w:sz w:val="17"/>
              </w:rPr>
              <w:t>Alternative priority</w:t>
            </w:r>
          </w:p>
        </w:tc>
        <w:tc>
          <w:tcPr>
            <w:tcW w:type="dxa" w:w="6408"/>
            <w:tcMar>
              <w:top w:w="70" w:type="dxa"/>
              <w:start w:w="120" w:type="dxa"/>
              <w:bottom w:w="70" w:type="dxa"/>
              <w:end w:w="120" w:type="dxa"/>
            </w:tcMar>
            <w:vAlign w:val="top"/>
          </w:tcPr>
          <w:p>
            <w:r/>
            <w:r>
              <w:rPr>
                <w:rFonts w:ascii="Aptos" w:hAnsi="Aptos"/>
                <w:b w:val="0"/>
                <w:i w:val="0"/>
                <w:color w:val="1E2F38"/>
                <w:sz w:val="17"/>
              </w:rPr>
              <w:t>Replace Product Development with Investment Readiness &amp; Fundraising if the MVP is already stable and validated.</w:t>
            </w:r>
          </w:p>
        </w:tc>
      </w:tr>
    </w:tbl>
    <w:p>
      <w:pPr>
        <w:spacing w:after="20"/>
      </w:pPr>
    </w:p>
    <w:p>
      <w:pPr>
        <w:pStyle w:val="Heading2"/>
        <w:spacing w:before="160" w:after="100"/>
      </w:pPr>
      <w:r>
        <w:t>Section 6 of 6 - Final notes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is your biggest bottleneck right now?*</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Our biggest bottleneck is converting a strong real-world health delivery foundation into a validated, investment-ready product. We need disciplined MVP validation, user testing with CHWs and facility teams, a clear product-market fit case, and partnerships that can support deployment beyond one FairBanks catchment. We also need to strengthen our evidence, data-governance, and fundraising package without overbuilding before the highest-value workflows are proven.</w:t>
            </w:r>
          </w:p>
        </w:tc>
      </w:tr>
      <w:tr>
        <w:tc>
          <w:tcPr>
            <w:tcW w:type="dxa" w:w="3096"/>
            <w:tcMar>
              <w:top w:w="70" w:type="dxa"/>
              <w:start w:w="120" w:type="dxa"/>
              <w:bottom w:w="70" w:type="dxa"/>
              <w:end w:w="120" w:type="dxa"/>
            </w:tcMar>
            <w:vAlign w:val="top"/>
          </w:tcPr>
          <w:p>
            <w:r/>
            <w:r>
              <w:rPr>
                <w:rFonts w:ascii="Aptos" w:hAnsi="Aptos"/>
                <w:b/>
                <w:i w:val="0"/>
                <w:color w:val="1E2F38"/>
                <w:sz w:val="17"/>
              </w:rPr>
              <w:t>Why do you want to join Africa Health-Tech Accelerator?*</w:t>
            </w:r>
          </w:p>
        </w:tc>
        <w:tc>
          <w:tcPr>
            <w:tcW w:type="dxa" w:w="6408"/>
            <w:tcMar>
              <w:top w:w="70" w:type="dxa"/>
              <w:start w:w="120" w:type="dxa"/>
              <w:bottom w:w="70" w:type="dxa"/>
              <w:end w:w="120" w:type="dxa"/>
            </w:tcMar>
            <w:vAlign w:val="top"/>
          </w:tcPr>
          <w:p>
            <w:r/>
            <w:r>
              <w:rPr>
                <w:rFonts w:ascii="Aptos" w:hAnsi="Aptos"/>
                <w:b w:val="0"/>
                <w:i w:val="0"/>
                <w:color w:val="1E2F38"/>
                <w:sz w:val="17"/>
              </w:rPr>
              <w:t>The accelerator directly matches FCHIP's next milestone: validate an Africa-built digital health platform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How did you hear about the programme?*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choose the truthful portal option. Use Other if discovered through an opportunity listing.]</w:t>
            </w:r>
          </w:p>
        </w:tc>
      </w:tr>
    </w:tbl>
    <w:p>
      <w:pPr>
        <w:spacing w:after="20"/>
      </w:pPr>
    </w:p>
    <w:p>
      <w:r>
        <w:br w:type="page"/>
      </w:r>
    </w:p>
    <w:p>
      <w:pPr>
        <w:pStyle w:val="Heading1"/>
        <w:spacing w:before="160" w:after="100"/>
      </w:pPr>
      <w:r>
        <w:t>3. Venture narrative</w:t>
      </w:r>
    </w:p>
    <w:p>
      <w:pPr>
        <w:jc w:val="center"/>
      </w:pPr>
      <w:r>
        <w:drawing>
          <wp:inline xmlns:a="http://schemas.openxmlformats.org/drawingml/2006/main" xmlns:pic="http://schemas.openxmlformats.org/drawingml/2006/picture">
            <wp:extent cx="6126480" cy="4084320"/>
            <wp:docPr id="3" name="Picture 3"/>
            <wp:cNvGraphicFramePr>
              <a:graphicFrameLocks noChangeAspect="1"/>
            </wp:cNvGraphicFramePr>
            <a:graphic>
              <a:graphicData uri="http://schemas.openxmlformats.org/drawingml/2006/picture">
                <pic:pic>
                  <pic:nvPicPr>
                    <pic:cNvPr id="0" name="outreach_bp_screening.jpeg"/>
                    <pic:cNvPicPr/>
                  </pic:nvPicPr>
                  <pic:blipFill>
                    <a:blip r:embed="rId13"/>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FairBanks outreach provides a real environment for FCHIP product validation.</w:t>
      </w:r>
    </w:p>
    <w:p>
      <w:pPr>
        <w:pStyle w:val="Heading2"/>
        <w:spacing w:before="160" w:after="100"/>
      </w:pPr>
      <w:r>
        <w:t>3.1 Problem</w:t>
      </w:r>
    </w:p>
    <w:p>
      <w:pPr>
        <w:spacing w:after="100"/>
      </w:pPr>
      <w:r>
        <w:rPr>
          <w:rFonts w:ascii="Aptos" w:hAnsi="Aptos"/>
          <w:b w:val="0"/>
          <w:i w:val="0"/>
          <w:color w:val="1E2F38"/>
          <w:sz w:val="20"/>
        </w:rPr>
        <w:t>Primary healthcare in underserved African communities is still reactive. Facilities often see people only after illness has worsened, while useful signals from CHW and VHT visits, outreach screenings, maternal care, pharmacy activity, and facility records remain fragmented. Clinical data often stays locked inside existing EMR or hospital management systems, so community and facility intelligence cannot fuse in real time. This delays outbreak detection, high-risk pregnancy referral, NCD follow-up, and medicine planning. Clinics and district teams therefore lack a timely, community-level view of who is at risk, where health threats are growing, and what action should happen next.</w:t>
      </w:r>
    </w:p>
    <w:p>
      <w:pPr>
        <w:pStyle w:val="Heading2"/>
        <w:spacing w:before="160" w:after="100"/>
      </w:pPr>
      <w:r>
        <w:t>3.2 Solution</w:t>
      </w:r>
    </w:p>
    <w:p>
      <w:pPr>
        <w:spacing w:after="100"/>
      </w:pPr>
      <w:r>
        <w:rPr>
          <w:rFonts w:ascii="Aptos" w:hAnsi="Aptos"/>
          <w:b w:val="0"/>
          <w:i w:val="0"/>
          <w:color w:val="1E2F38"/>
          <w:sz w:val="20"/>
        </w:rPr>
        <w:t>FCHIP is an offline-capable community health intelligence platform. CHWs and VHTs capture structured household and outreach data through mobile tools; approved facility and programme data are synchronized securely; and FCHIP safely exposes authenticated data APIs to existing EMR and HMS systems so clinics can share clinical records into the platform in real time without replacing the software they already use. An analytics layer produces risk flags, GIS hotspot maps, referrals, and dashboards. The first release focuses on three practical use cases: maternal risk and missed-care alerts, hypertension and diabetes hotspot detection, and community disease surveillance. FairBanks will validate the product in its existing medical centre and Community Reach network before expanding to partner clinics and districts.</w:t>
      </w:r>
    </w:p>
    <w:p>
      <w:pPr>
        <w:pStyle w:val="Heading2"/>
        <w:spacing w:before="160" w:after="100"/>
      </w:pPr>
      <w:r>
        <w:t>3.3 Competitive advantage</w:t>
      </w:r>
    </w:p>
    <w:p>
      <w:pPr>
        <w:spacing w:after="100"/>
      </w:pPr>
      <w:r>
        <w:rPr>
          <w:rFonts w:ascii="Aptos" w:hAnsi="Aptos"/>
          <w:b w:val="0"/>
          <w:i w:val="0"/>
          <w:color w:val="1E2F38"/>
          <w:sz w:val="20"/>
        </w:rPr>
        <w:t>FairBanks combines what many health-tech startups and facilities lack: a live medical centre, active outreach programmes, CHW and VHT links, digital health workflows, and a product designed from real community care. This gives FCHIP a direct test environment and a trusted route to users. Secure EMR/HMS data APIs let facilities plug clinical feeds into FCHIP without ripping out existing systems. The platform is not only an electronic register; it closes the loop from community and facility signal to risk insight, referral, targeted outreach, and follow-up.</w:t>
      </w:r>
    </w:p>
    <w:p>
      <w:pPr>
        <w:pStyle w:val="Heading1"/>
        <w:spacing w:before="160" w:after="100"/>
      </w:pPr>
      <w:r>
        <w:t>4. Product and technology</w:t>
      </w:r>
    </w:p>
    <w:p>
      <w:pPr>
        <w:jc w:val="center"/>
      </w:pPr>
      <w:r>
        <w:drawing>
          <wp:inline xmlns:a="http://schemas.openxmlformats.org/drawingml/2006/main" xmlns:pic="http://schemas.openxmlformats.org/drawingml/2006/picture">
            <wp:extent cx="6126480" cy="4084320"/>
            <wp:docPr id="4" name="Picture 4"/>
            <wp:cNvGraphicFramePr>
              <a:graphicFrameLocks noChangeAspect="1"/>
            </wp:cNvGraphicFramePr>
            <a:graphic>
              <a:graphicData uri="http://schemas.openxmlformats.org/drawingml/2006/picture">
                <pic:pic>
                  <pic:nvPicPr>
                    <pic:cNvPr id="0" name="dashboard_demo.png"/>
                    <pic:cNvPicPr/>
                  </pic:nvPicPr>
                  <pic:blipFill>
                    <a:blip r:embed="rId14"/>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FCHIP dashboard concept - illustrative, not evidence of a deployed product.</w:t>
      </w:r>
    </w:p>
    <w:tbl>
      <w:tblPr>
        <w:tblW w:type="auto" w:w="0"/>
        <w:jc w:val="center"/>
        <w:tblLayout w:type="fixed"/>
        <w:tblLook w:firstColumn="1" w:firstRow="1" w:lastColumn="0" w:lastRow="0" w:noHBand="0" w:noVBand="1" w:val="04A0"/>
      </w:tblPr>
      <w:tblGrid>
        <w:gridCol w:w="4917"/>
        <w:gridCol w:w="4917"/>
      </w:tblGrid>
      <w:tr>
        <w:tc>
          <w:tcPr>
            <w:tcW w:type="dxa" w:w="2880"/>
            <w:shd w:fill="0A1F2E"/>
            <w:tcMar>
              <w:top w:w="80" w:type="dxa"/>
              <w:start w:w="120" w:type="dxa"/>
              <w:bottom w:w="80" w:type="dxa"/>
              <w:end w:w="120" w:type="dxa"/>
            </w:tcMar>
            <w:vAlign w:val="center"/>
          </w:tcPr>
          <w:p>
            <w:r/>
            <w:r>
              <w:rPr>
                <w:rFonts w:ascii="Aptos" w:hAnsi="Aptos"/>
                <w:b/>
                <w:i w:val="0"/>
                <w:color w:val="FFFFFF"/>
                <w:sz w:val="18"/>
              </w:rPr>
              <w:t>Product layer</w:t>
            </w:r>
          </w:p>
        </w:tc>
        <w:tc>
          <w:tcPr>
            <w:tcW w:type="dxa" w:w="6624"/>
            <w:shd w:fill="0A1F2E"/>
            <w:tcMar>
              <w:top w:w="80" w:type="dxa"/>
              <w:start w:w="120" w:type="dxa"/>
              <w:bottom w:w="80" w:type="dxa"/>
              <w:end w:w="120" w:type="dxa"/>
            </w:tcMar>
            <w:vAlign w:val="center"/>
          </w:tcPr>
          <w:p>
            <w:r/>
            <w:r>
              <w:rPr>
                <w:rFonts w:ascii="Aptos" w:hAnsi="Aptos"/>
                <w:b/>
                <w:i w:val="0"/>
                <w:color w:val="FFFFFF"/>
                <w:sz w:val="18"/>
              </w:rPr>
              <w:t>Role</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Offline mobile capture</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Structured CHW/VHT visits, vitals, referrals, and follow-up</w:t>
            </w:r>
          </w:p>
        </w:tc>
      </w:tr>
      <w:tr>
        <w:tc>
          <w:tcPr>
            <w:tcW w:type="dxa" w:w="2880"/>
            <w:tcMar>
              <w:top w:w="100" w:type="dxa"/>
              <w:start w:w="120" w:type="dxa"/>
              <w:bottom w:w="100" w:type="dxa"/>
              <w:end w:w="120" w:type="dxa"/>
            </w:tcMar>
            <w:vAlign w:val="top"/>
          </w:tcPr>
          <w:p>
            <w:r/>
            <w:r>
              <w:rPr>
                <w:rFonts w:ascii="Aptos" w:hAnsi="Aptos"/>
                <w:b/>
                <w:i w:val="0"/>
                <w:color w:val="1E2F38"/>
                <w:sz w:val="18"/>
              </w:rPr>
              <w:t>Secure EMR/HMS data APIs</w:t>
            </w:r>
          </w:p>
        </w:tc>
        <w:tc>
          <w:tcPr>
            <w:tcW w:type="dxa" w:w="6624"/>
            <w:tcMar>
              <w:top w:w="100" w:type="dxa"/>
              <w:start w:w="120" w:type="dxa"/>
              <w:bottom w:w="100" w:type="dxa"/>
              <w:end w:w="120" w:type="dxa"/>
            </w:tcMar>
            <w:vAlign w:val="top"/>
          </w:tcPr>
          <w:p>
            <w:r/>
            <w:r>
              <w:rPr>
                <w:rFonts w:ascii="Aptos" w:hAnsi="Aptos"/>
                <w:b w:val="0"/>
                <w:i w:val="0"/>
                <w:color w:val="1E2F38"/>
                <w:sz w:val="18"/>
              </w:rPr>
              <w:t>Authenticated, consent-aware APIs so existing EMR/HMS systems can share clinical data in real time</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Secure data pipeline</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Validation, consent, role-based access, and approved integrations</w:t>
            </w:r>
          </w:p>
        </w:tc>
      </w:tr>
      <w:tr>
        <w:tc>
          <w:tcPr>
            <w:tcW w:type="dxa" w:w="2880"/>
            <w:tcMar>
              <w:top w:w="100" w:type="dxa"/>
              <w:start w:w="120" w:type="dxa"/>
              <w:bottom w:w="100" w:type="dxa"/>
              <w:end w:w="120" w:type="dxa"/>
            </w:tcMar>
            <w:vAlign w:val="top"/>
          </w:tcPr>
          <w:p>
            <w:r/>
            <w:r>
              <w:rPr>
                <w:rFonts w:ascii="Aptos" w:hAnsi="Aptos"/>
                <w:b/>
                <w:i w:val="0"/>
                <w:color w:val="1E2F38"/>
                <w:sz w:val="18"/>
              </w:rPr>
              <w:t>Analytics and AI</w:t>
            </w:r>
          </w:p>
        </w:tc>
        <w:tc>
          <w:tcPr>
            <w:tcW w:type="dxa" w:w="6624"/>
            <w:tcMar>
              <w:top w:w="100" w:type="dxa"/>
              <w:start w:w="120" w:type="dxa"/>
              <w:bottom w:w="100" w:type="dxa"/>
              <w:end w:w="120" w:type="dxa"/>
            </w:tcMar>
            <w:vAlign w:val="top"/>
          </w:tcPr>
          <w:p>
            <w:r/>
            <w:r>
              <w:rPr>
                <w:rFonts w:ascii="Aptos" w:hAnsi="Aptos"/>
                <w:b w:val="0"/>
                <w:i w:val="0"/>
                <w:color w:val="1E2F38"/>
                <w:sz w:val="18"/>
              </w:rPr>
              <w:t>Start with interpretable rules; add validated ML as data quality grows</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GIS risk layer</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Community hotspots, coverage gaps, and outreach priorities</w:t>
            </w:r>
          </w:p>
        </w:tc>
      </w:tr>
      <w:tr>
        <w:tc>
          <w:tcPr>
            <w:tcW w:type="dxa" w:w="2880"/>
            <w:tcMar>
              <w:top w:w="100" w:type="dxa"/>
              <w:start w:w="120" w:type="dxa"/>
              <w:bottom w:w="100" w:type="dxa"/>
              <w:end w:w="120" w:type="dxa"/>
            </w:tcMar>
            <w:vAlign w:val="top"/>
          </w:tcPr>
          <w:p>
            <w:r/>
            <w:r>
              <w:rPr>
                <w:rFonts w:ascii="Aptos" w:hAnsi="Aptos"/>
                <w:b/>
                <w:i w:val="0"/>
                <w:color w:val="1E2F38"/>
                <w:sz w:val="18"/>
              </w:rPr>
              <w:t>Action dashboard</w:t>
            </w:r>
          </w:p>
        </w:tc>
        <w:tc>
          <w:tcPr>
            <w:tcW w:type="dxa" w:w="6624"/>
            <w:tcMar>
              <w:top w:w="100" w:type="dxa"/>
              <w:start w:w="120" w:type="dxa"/>
              <w:bottom w:w="100" w:type="dxa"/>
              <w:end w:w="120" w:type="dxa"/>
            </w:tcMar>
            <w:vAlign w:val="top"/>
          </w:tcPr>
          <w:p>
            <w:r/>
            <w:r>
              <w:rPr>
                <w:rFonts w:ascii="Aptos" w:hAnsi="Aptos"/>
                <w:b w:val="0"/>
                <w:i w:val="0"/>
                <w:color w:val="1E2F38"/>
                <w:sz w:val="18"/>
              </w:rPr>
              <w:t>Alerts, referrals, trends, data quality, and medicine planning</w:t>
            </w:r>
          </w:p>
        </w:tc>
      </w:tr>
    </w:tbl>
    <w:p>
      <w:pPr>
        <w:spacing w:after="20"/>
      </w:pPr>
    </w:p>
    <w:p>
      <w:pPr>
        <w:spacing w:after="100"/>
      </w:pPr>
      <w:r>
        <w:rPr>
          <w:rFonts w:ascii="Aptos" w:hAnsi="Aptos"/>
          <w:b/>
          <w:i w:val="0"/>
          <w:color w:val="1E2F38"/>
          <w:sz w:val="20"/>
        </w:rPr>
        <w:t>Responsible AI position: begin with simple, explainable rules and clinician review. Add machine-learning models only when the training data, bias checks, monitoring, and clinical validation are adequate.</w:t>
      </w:r>
    </w:p>
    <w:p>
      <w:pPr>
        <w:pStyle w:val="Heading1"/>
        <w:spacing w:before="160" w:after="100"/>
      </w:pPr>
      <w:r>
        <w:t>5. Target customers and business model</w:t>
      </w:r>
    </w:p>
    <w:p>
      <w:pPr>
        <w:spacing w:after="100"/>
      </w:pPr>
      <w:r>
        <w:rPr>
          <w:rFonts w:ascii="Aptos" w:hAnsi="Aptos"/>
          <w:b w:val="0"/>
          <w:i w:val="0"/>
          <w:color w:val="1E2F38"/>
          <w:sz w:val="20"/>
        </w:rPr>
        <w:t>Private and faith-based clinics, district health offices, the Ministry of Health, Uganda health federations, NGOs and development programmes, universities and other teaching and research institutions, and health insurers that need better community-level data, follow-up, early warning, and programme monitoring. CHWs and VHTs are the core frontline users.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Customer</w:t>
            </w:r>
          </w:p>
        </w:tc>
        <w:tc>
          <w:tcPr>
            <w:tcW w:type="dxa" w:w="6480"/>
            <w:shd w:fill="0A1F2E"/>
            <w:tcMar>
              <w:top w:w="80" w:type="dxa"/>
              <w:start w:w="120" w:type="dxa"/>
              <w:bottom w:w="80" w:type="dxa"/>
              <w:end w:w="120" w:type="dxa"/>
            </w:tcMar>
            <w:vAlign w:val="center"/>
          </w:tcPr>
          <w:p>
            <w:r/>
            <w:r>
              <w:rPr>
                <w:rFonts w:ascii="Aptos" w:hAnsi="Aptos"/>
                <w:b/>
                <w:i w:val="0"/>
                <w:color w:val="FFFFFF"/>
                <w:sz w:val="18"/>
              </w:rPr>
              <w:t>Revenue path</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Clinics and hospitals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Subscription plus onboarding and support</w:t>
            </w:r>
          </w:p>
        </w:tc>
      </w:tr>
      <w:tr>
        <w:tc>
          <w:tcPr>
            <w:tcW w:type="dxa" w:w="3024"/>
            <w:tcMar>
              <w:top w:w="100" w:type="dxa"/>
              <w:start w:w="120" w:type="dxa"/>
              <w:bottom w:w="100" w:type="dxa"/>
              <w:end w:w="120" w:type="dxa"/>
            </w:tcMar>
            <w:vAlign w:val="top"/>
          </w:tcPr>
          <w:p>
            <w:r/>
            <w:r>
              <w:rPr>
                <w:rFonts w:ascii="Aptos" w:hAnsi="Aptos"/>
                <w:b/>
                <w:i w:val="0"/>
                <w:color w:val="1E2F38"/>
                <w:sz w:val="18"/>
              </w:rPr>
              <w:t>Districts and ministries</w:t>
            </w:r>
          </w:p>
        </w:tc>
        <w:tc>
          <w:tcPr>
            <w:tcW w:type="dxa" w:w="6480"/>
            <w:tcMar>
              <w:top w:w="100" w:type="dxa"/>
              <w:start w:w="120" w:type="dxa"/>
              <w:bottom w:w="100" w:type="dxa"/>
              <w:end w:w="120" w:type="dxa"/>
            </w:tcMar>
            <w:vAlign w:val="top"/>
          </w:tcPr>
          <w:p>
            <w:r/>
            <w:r>
              <w:rPr>
                <w:rFonts w:ascii="Aptos" w:hAnsi="Aptos"/>
                <w:b w:val="0"/>
                <w:i w:val="0"/>
                <w:color w:val="1E2F38"/>
                <w:sz w:val="18"/>
              </w:rPr>
              <w:t>Deployment, implementation, and analytics contracts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NGOs and programmes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Monitoring, evaluation, workflow, and reporting contracts</w:t>
            </w:r>
          </w:p>
        </w:tc>
      </w:tr>
      <w:tr>
        <w:tc>
          <w:tcPr>
            <w:tcW w:type="dxa" w:w="3024"/>
            <w:tcMar>
              <w:top w:w="100" w:type="dxa"/>
              <w:start w:w="120" w:type="dxa"/>
              <w:bottom w:w="100" w:type="dxa"/>
              <w:end w:w="120" w:type="dxa"/>
            </w:tcMar>
            <w:vAlign w:val="top"/>
          </w:tcPr>
          <w:p>
            <w:r/>
            <w:r>
              <w:rPr>
                <w:rFonts w:ascii="Aptos" w:hAnsi="Aptos"/>
                <w:b/>
                <w:i w:val="0"/>
                <w:color w:val="1E2F38"/>
                <w:sz w:val="18"/>
              </w:rPr>
              <w:t>Research partners</w:t>
            </w:r>
          </w:p>
        </w:tc>
        <w:tc>
          <w:tcPr>
            <w:tcW w:type="dxa" w:w="6480"/>
            <w:tcMar>
              <w:top w:w="100" w:type="dxa"/>
              <w:start w:w="120" w:type="dxa"/>
              <w:bottom w:w="100" w:type="dxa"/>
              <w:end w:w="120" w:type="dxa"/>
            </w:tcMar>
            <w:vAlign w:val="top"/>
          </w:tcPr>
          <w:p>
            <w:r/>
            <w:r>
              <w:rPr>
                <w:rFonts w:ascii="Aptos" w:hAnsi="Aptos"/>
                <w:b w:val="0"/>
                <w:i w:val="0"/>
                <w:color w:val="1E2F38"/>
                <w:sz w:val="18"/>
              </w:rPr>
              <w:t>Ethical study tools and approved anonymised analytics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Digital health partners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Secure EMR/HMS data APIs and other integration services</w:t>
            </w:r>
          </w:p>
        </w:tc>
      </w:tr>
      <w:tr>
        <w:tc>
          <w:tcPr>
            <w:tcW w:type="dxa" w:w="3024"/>
            <w:tcMar>
              <w:top w:w="100" w:type="dxa"/>
              <w:start w:w="120" w:type="dxa"/>
              <w:bottom w:w="100" w:type="dxa"/>
              <w:end w:w="120" w:type="dxa"/>
            </w:tcMar>
            <w:vAlign w:val="top"/>
          </w:tcPr>
          <w:p>
            <w:r/>
            <w:r>
              <w:rPr>
                <w:rFonts w:ascii="Aptos" w:hAnsi="Aptos"/>
                <w:b/>
                <w:i w:val="0"/>
                <w:color w:val="1E2F38"/>
                <w:sz w:val="18"/>
              </w:rPr>
              <w:t>CHW organisations</w:t>
            </w:r>
          </w:p>
        </w:tc>
        <w:tc>
          <w:tcPr>
            <w:tcW w:type="dxa" w:w="6480"/>
            <w:tcMar>
              <w:top w:w="100" w:type="dxa"/>
              <w:start w:w="120" w:type="dxa"/>
              <w:bottom w:w="100" w:type="dxa"/>
              <w:end w:w="120" w:type="dxa"/>
            </w:tcMar>
            <w:vAlign w:val="top"/>
          </w:tcPr>
          <w:p>
            <w:r/>
            <w:r>
              <w:rPr>
                <w:rFonts w:ascii="Aptos" w:hAnsi="Aptos"/>
                <w:b w:val="0"/>
                <w:i w:val="0"/>
                <w:color w:val="1E2F38"/>
                <w:sz w:val="18"/>
              </w:rPr>
              <w:t>Training and implementation support</w:t>
            </w:r>
          </w:p>
        </w:tc>
      </w:tr>
    </w:tbl>
    <w:p>
      <w:pPr>
        <w:spacing w:after="20"/>
      </w:pPr>
    </w:p>
    <w:p>
      <w:pPr>
        <w:pStyle w:val="Heading2"/>
        <w:spacing w:before="160" w:after="100"/>
      </w:pPr>
      <w:r>
        <w:t>5.1 Market-entry logic</w:t>
      </w:r>
    </w:p>
    <w:p>
      <w:pPr>
        <w:pStyle w:val="ListBullet"/>
        <w:spacing w:after="40"/>
      </w:pPr>
      <w:r>
        <w:rPr>
          <w:rFonts w:ascii="Aptos" w:hAnsi="Aptos"/>
          <w:b w:val="0"/>
          <w:i w:val="0"/>
          <w:color w:val="1E2F38"/>
          <w:sz w:val="20"/>
        </w:rPr>
        <w:t>Beachhead: FairBanks catchment and Kampala-area outreach workflows.</w:t>
      </w:r>
    </w:p>
    <w:p>
      <w:pPr>
        <w:pStyle w:val="ListBullet"/>
        <w:spacing w:after="40"/>
      </w:pPr>
      <w:r>
        <w:rPr>
          <w:rFonts w:ascii="Aptos" w:hAnsi="Aptos"/>
          <w:b w:val="0"/>
          <w:i w:val="0"/>
          <w:color w:val="1E2F38"/>
          <w:sz w:val="20"/>
        </w:rPr>
        <w:t>First external buyers: clinics and health programmes needing follow-up and reporting.</w:t>
      </w:r>
    </w:p>
    <w:p>
      <w:pPr>
        <w:pStyle w:val="ListBullet"/>
        <w:spacing w:after="40"/>
      </w:pPr>
      <w:r>
        <w:rPr>
          <w:rFonts w:ascii="Aptos" w:hAnsi="Aptos"/>
          <w:b w:val="0"/>
          <w:i w:val="0"/>
          <w:color w:val="1E2F38"/>
          <w:sz w:val="20"/>
        </w:rPr>
        <w:t>Institutional scale: district, NGO, research, insurer, and ministry deployments.</w:t>
      </w:r>
    </w:p>
    <w:p>
      <w:pPr>
        <w:pStyle w:val="ListBullet"/>
        <w:spacing w:after="40"/>
      </w:pPr>
      <w:r>
        <w:rPr>
          <w:rFonts w:ascii="Aptos" w:hAnsi="Aptos"/>
          <w:b w:val="0"/>
          <w:i w:val="0"/>
          <w:color w:val="1E2F38"/>
          <w:sz w:val="20"/>
        </w:rPr>
        <w:t>Regional scale: adapt to countries with established CHW systems and similar care gaps.</w:t>
      </w:r>
    </w:p>
    <w:p>
      <w:r>
        <w:br w:type="page"/>
      </w:r>
    </w:p>
    <w:p>
      <w:pPr>
        <w:pStyle w:val="Heading1"/>
        <w:spacing w:before="160" w:after="100"/>
      </w:pPr>
      <w:r>
        <w:t>6. Traction and honest evidence</w:t>
      </w:r>
    </w:p>
    <w:p>
      <w:pPr>
        <w:jc w:val="center"/>
      </w:pPr>
      <w:r>
        <w:drawing>
          <wp:inline xmlns:a="http://schemas.openxmlformats.org/drawingml/2006/main" xmlns:pic="http://schemas.openxmlformats.org/drawingml/2006/picture">
            <wp:extent cx="5486400" cy="7540371"/>
            <wp:docPr id="5" name="Picture 5"/>
            <wp:cNvGraphicFramePr>
              <a:graphicFrameLocks noChangeAspect="1"/>
            </wp:cNvGraphicFramePr>
            <a:graphic>
              <a:graphicData uri="http://schemas.openxmlformats.org/drawingml/2006/picture">
                <pic:pic>
                  <pic:nvPicPr>
                    <pic:cNvPr id="0" name="concept_improved.jpeg"/>
                    <pic:cNvPicPr/>
                  </pic:nvPicPr>
                  <pic:blipFill>
                    <a:blip r:embed="rId15"/>
                    <a:stretch>
                      <a:fillRect/>
                    </a:stretch>
                  </pic:blipFill>
                  <pic:spPr>
                    <a:xfrm>
                      <a:off x="0" y="0"/>
                      <a:ext cx="5486400" cy="7540371"/>
                    </a:xfrm>
                    <a:prstGeom prst="rect"/>
                  </pic:spPr>
                </pic:pic>
              </a:graphicData>
            </a:graphic>
          </wp:inline>
        </w:drawing>
      </w:r>
    </w:p>
    <w:p>
      <w:pPr>
        <w:jc w:val="center"/>
      </w:pPr>
      <w:r>
        <w:rPr>
          <w:rFonts w:ascii="Aptos" w:hAnsi="Aptos"/>
          <w:b w:val="0"/>
          <w:i/>
          <w:color w:val="52636C"/>
          <w:sz w:val="16"/>
        </w:rPr>
        <w:t>FairBanks Community Reach operating model - FCHIP is the intelligence layer.</w:t>
      </w:r>
    </w:p>
    <w:p>
      <w:pPr>
        <w:pStyle w:val="ListBullet"/>
        <w:spacing w:after="40"/>
      </w:pPr>
      <w:r>
        <w:rPr>
          <w:rFonts w:ascii="Aptos" w:hAnsi="Aptos"/>
          <w:b w:val="0"/>
          <w:i w:val="0"/>
          <w:color w:val="1E2F38"/>
          <w:sz w:val="20"/>
        </w:rPr>
        <w:t>Functioning FairBanks Medical Centre with direct access to care workflows.</w:t>
      </w:r>
    </w:p>
    <w:p>
      <w:pPr>
        <w:pStyle w:val="ListBullet"/>
        <w:spacing w:after="40"/>
      </w:pPr>
      <w:r>
        <w:rPr>
          <w:rFonts w:ascii="Aptos" w:hAnsi="Aptos"/>
          <w:b w:val="0"/>
          <w:i w:val="0"/>
          <w:color w:val="1E2F38"/>
          <w:sz w:val="20"/>
        </w:rPr>
        <w:t>Community Reach activity in Bukoto, Kyebando, Kisaasi, Kamwokya, Kikaaya, and nearby areas.</w:t>
      </w:r>
    </w:p>
    <w:p>
      <w:pPr>
        <w:pStyle w:val="ListBullet"/>
        <w:spacing w:after="40"/>
      </w:pPr>
      <w:r>
        <w:rPr>
          <w:rFonts w:ascii="Aptos" w:hAnsi="Aptos"/>
          <w:b w:val="0"/>
          <w:i w:val="0"/>
          <w:color w:val="1E2F38"/>
          <w:sz w:val="20"/>
        </w:rPr>
        <w:t>CHW and VHT links for outreach, referral, follow-up, and community data collection.</w:t>
      </w:r>
    </w:p>
    <w:p>
      <w:pPr>
        <w:pStyle w:val="ListBullet"/>
        <w:spacing w:after="40"/>
      </w:pPr>
      <w:r>
        <w:rPr>
          <w:rFonts w:ascii="Aptos" w:hAnsi="Aptos"/>
          <w:b w:val="0"/>
          <w:i w:val="0"/>
          <w:color w:val="1E2F38"/>
          <w:sz w:val="20"/>
        </w:rPr>
        <w:t>Internal application materials cite 40+ CHWs and VHTs collecting field data weekly (confirm the current number before using it in the portal).</w:t>
      </w:r>
    </w:p>
    <w:p>
      <w:pPr>
        <w:pStyle w:val="ListBullet"/>
        <w:spacing w:after="40"/>
      </w:pPr>
      <w:r>
        <w:rPr>
          <w:rFonts w:ascii="Aptos" w:hAnsi="Aptos"/>
          <w:b w:val="0"/>
          <w:i w:val="0"/>
          <w:color w:val="1E2F38"/>
          <w:sz w:val="20"/>
        </w:rPr>
        <w:t>Existing maternal and child health, Gericare, NCD screening, school, and corporate health work.</w:t>
      </w:r>
    </w:p>
    <w:p>
      <w:pPr>
        <w:pStyle w:val="ListBullet"/>
        <w:spacing w:after="40"/>
      </w:pPr>
      <w:r>
        <w:rPr>
          <w:rFonts w:ascii="Aptos" w:hAnsi="Aptos"/>
          <w:b w:val="0"/>
          <w:i w:val="0"/>
          <w:color w:val="1E2F38"/>
          <w:sz w:val="20"/>
        </w:rPr>
        <w:t>Digital health records and pharmacy workflows that can inform product integration.</w:t>
      </w:r>
    </w:p>
    <w:p>
      <w:pPr>
        <w:pStyle w:val="ListBullet"/>
        <w:spacing w:after="40"/>
      </w:pPr>
      <w:r>
        <w:rPr>
          <w:rFonts w:ascii="Aptos" w:hAnsi="Aptos"/>
          <w:b w:val="0"/>
          <w:i w:val="0"/>
          <w:color w:val="1E2F38"/>
          <w:sz w:val="20"/>
        </w:rPr>
        <w:t>Planned secure EMR/HMS data APIs so existing facility systems can feed clinical data into FCHIP in real time without replacement.</w:t>
      </w:r>
    </w:p>
    <w:p>
      <w:pPr>
        <w:pStyle w:val="ListBullet"/>
        <w:spacing w:after="40"/>
      </w:pPr>
      <w:r>
        <w:rPr>
          <w:rFonts w:ascii="Aptos" w:hAnsi="Aptos"/>
          <w:b w:val="0"/>
          <w:i w:val="0"/>
          <w:color w:val="1E2F38"/>
          <w:sz w:val="20"/>
        </w:rPr>
        <w:t>FCHIP itself remains a planned / pre-MVP build in current repository materials unless newer product evidence is supplied.</w:t>
      </w:r>
    </w:p>
    <w:p>
      <w:pPr>
        <w:spacing w:after="100"/>
      </w:pPr>
      <w:r>
        <w:rPr>
          <w:rFonts w:ascii="Aptos" w:hAnsi="Aptos"/>
          <w:b/>
          <w:i w:val="0"/>
          <w:color w:val="A3312D"/>
          <w:sz w:val="20"/>
        </w:rPr>
        <w:t>These points prove delivery access and validation readiness. They do not by themselves prove FCHIP product traction, paying customers, or model performance. Those claims must be supported separately.</w:t>
      </w:r>
    </w:p>
    <w:p>
      <w:pPr>
        <w:pStyle w:val="Heading1"/>
        <w:spacing w:before="160" w:after="100"/>
      </w:pPr>
      <w:r>
        <w:t>7. Six-month milestone plan</w:t>
      </w:r>
    </w:p>
    <w:p>
      <w:pPr>
        <w:spacing w:after="100"/>
      </w:pPr>
      <w:r>
        <w:rPr>
          <w:rFonts w:ascii="Aptos" w:hAnsi="Aptos"/>
          <w:b/>
          <w:i w:val="0"/>
          <w:color w:val="1E2F38"/>
          <w:sz w:val="20"/>
        </w:rPr>
        <w:t>Recommended portal milestone: Validate product-market fit, provided a working MVP already exists.</w:t>
      </w:r>
    </w:p>
    <w:tbl>
      <w:tblPr>
        <w:tblW w:type="auto" w:w="0"/>
        <w:jc w:val="center"/>
        <w:tblLayout w:type="fixed"/>
        <w:tblLook w:firstColumn="1" w:firstRow="1" w:lastColumn="0" w:lastRow="0" w:noHBand="0" w:noVBand="1" w:val="04A0"/>
      </w:tblPr>
      <w:tblGrid>
        <w:gridCol w:w="4917"/>
        <w:gridCol w:w="4917"/>
      </w:tblGrid>
      <w:tr>
        <w:tc>
          <w:tcPr>
            <w:tcW w:type="dxa" w:w="1800"/>
            <w:shd w:fill="0A1F2E"/>
            <w:tcMar>
              <w:top w:w="80" w:type="dxa"/>
              <w:start w:w="120" w:type="dxa"/>
              <w:bottom w:w="80" w:type="dxa"/>
              <w:end w:w="120" w:type="dxa"/>
            </w:tcMar>
            <w:vAlign w:val="center"/>
          </w:tcPr>
          <w:p>
            <w:r/>
            <w:r>
              <w:rPr>
                <w:rFonts w:ascii="Aptos" w:hAnsi="Aptos"/>
                <w:b/>
                <w:i w:val="0"/>
                <w:color w:val="FFFFFF"/>
                <w:sz w:val="18"/>
              </w:rPr>
              <w:t>Timing</w:t>
            </w:r>
          </w:p>
        </w:tc>
        <w:tc>
          <w:tcPr>
            <w:tcW w:type="dxa" w:w="7704"/>
            <w:shd w:fill="0A1F2E"/>
            <w:tcMar>
              <w:top w:w="80" w:type="dxa"/>
              <w:start w:w="120" w:type="dxa"/>
              <w:bottom w:w="80" w:type="dxa"/>
              <w:end w:w="120" w:type="dxa"/>
            </w:tcMar>
            <w:vAlign w:val="center"/>
          </w:tcPr>
          <w:p>
            <w:r/>
            <w:r>
              <w:rPr>
                <w:rFonts w:ascii="Aptos" w:hAnsi="Aptos"/>
                <w:b/>
                <w:i w:val="0"/>
                <w:color w:val="FFFFFF"/>
                <w:sz w:val="18"/>
              </w:rPr>
              <w:t>Milestone</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1</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Confirm users, workflows, MVP evidence, governance, and baseline indicators.</w:t>
            </w:r>
          </w:p>
        </w:tc>
      </w:tr>
      <w:tr>
        <w:tc>
          <w:tcPr>
            <w:tcW w:type="dxa" w:w="1800"/>
            <w:tcMar>
              <w:top w:w="100" w:type="dxa"/>
              <w:start w:w="120" w:type="dxa"/>
              <w:bottom w:w="100" w:type="dxa"/>
              <w:end w:w="120" w:type="dxa"/>
            </w:tcMar>
            <w:vAlign w:val="top"/>
          </w:tcPr>
          <w:p>
            <w:r/>
            <w:r>
              <w:rPr>
                <w:rFonts w:ascii="Aptos" w:hAnsi="Aptos"/>
                <w:b/>
                <w:i w:val="0"/>
                <w:color w:val="1E2F38"/>
                <w:sz w:val="18"/>
              </w:rPr>
              <w:t>Months 2-3</w:t>
            </w:r>
          </w:p>
        </w:tc>
        <w:tc>
          <w:tcPr>
            <w:tcW w:type="dxa" w:w="7704"/>
            <w:tcMar>
              <w:top w:w="100" w:type="dxa"/>
              <w:start w:w="120" w:type="dxa"/>
              <w:bottom w:w="100" w:type="dxa"/>
              <w:end w:w="120" w:type="dxa"/>
            </w:tcMar>
            <w:vAlign w:val="top"/>
          </w:tcPr>
          <w:p>
            <w:r/>
            <w:r>
              <w:rPr>
                <w:rFonts w:ascii="Aptos" w:hAnsi="Aptos"/>
                <w:b w:val="0"/>
                <w:i w:val="0"/>
                <w:color w:val="1E2F38"/>
                <w:sz w:val="18"/>
              </w:rPr>
              <w:t>Run CHW/facility usability testing; improve offline capture and dashboards.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Months 3-4</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Validate maternal, NCD, and surveillance workflows in FairBanks catchment.</w:t>
            </w:r>
          </w:p>
        </w:tc>
      </w:tr>
      <w:tr>
        <w:tc>
          <w:tcPr>
            <w:tcW w:type="dxa" w:w="1800"/>
            <w:tcMar>
              <w:top w:w="100" w:type="dxa"/>
              <w:start w:w="120" w:type="dxa"/>
              <w:bottom w:w="100" w:type="dxa"/>
              <w:end w:w="120" w:type="dxa"/>
            </w:tcMar>
            <w:vAlign w:val="top"/>
          </w:tcPr>
          <w:p>
            <w:r/>
            <w:r>
              <w:rPr>
                <w:rFonts w:ascii="Aptos" w:hAnsi="Aptos"/>
                <w:b/>
                <w:i w:val="0"/>
                <w:color w:val="1E2F38"/>
                <w:sz w:val="18"/>
              </w:rPr>
              <w:t>Months 4-5</w:t>
            </w:r>
          </w:p>
        </w:tc>
        <w:tc>
          <w:tcPr>
            <w:tcW w:type="dxa" w:w="7704"/>
            <w:tcMar>
              <w:top w:w="100" w:type="dxa"/>
              <w:start w:w="120" w:type="dxa"/>
              <w:bottom w:w="100" w:type="dxa"/>
              <w:end w:w="120" w:type="dxa"/>
            </w:tcMar>
            <w:vAlign w:val="top"/>
          </w:tcPr>
          <w:p>
            <w:r/>
            <w:r>
              <w:rPr>
                <w:rFonts w:ascii="Aptos" w:hAnsi="Aptos"/>
                <w:b w:val="0"/>
                <w:i w:val="0"/>
                <w:color w:val="1E2F38"/>
                <w:sz w:val="18"/>
              </w:rPr>
              <w:t>Test willingness to pay and partnership model with clinics, NGOs, and districts.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6</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Publish pilot evidence, investor data room, partnership pipeline, and scale plan.</w:t>
            </w:r>
          </w:p>
        </w:tc>
      </w:tr>
    </w:tbl>
    <w:p>
      <w:pPr>
        <w:spacing w:after="20"/>
      </w:pPr>
    </w:p>
    <w:p>
      <w:pPr>
        <w:pStyle w:val="Heading2"/>
        <w:spacing w:before="160" w:after="100"/>
      </w:pPr>
      <w:r>
        <w:t>7.1 Suggested pilot indicators</w:t>
      </w:r>
    </w:p>
    <w:p>
      <w:pPr>
        <w:pStyle w:val="ListBullet"/>
        <w:spacing w:after="40"/>
      </w:pPr>
      <w:r>
        <w:rPr>
          <w:rFonts w:ascii="Aptos" w:hAnsi="Aptos"/>
          <w:b w:val="0"/>
          <w:i w:val="0"/>
          <w:color w:val="1E2F38"/>
          <w:sz w:val="20"/>
        </w:rPr>
        <w:t>CHW/VHT weekly active use and form-completion rate.</w:t>
      </w:r>
    </w:p>
    <w:p>
      <w:pPr>
        <w:pStyle w:val="ListBullet"/>
        <w:spacing w:after="40"/>
      </w:pPr>
      <w:r>
        <w:rPr>
          <w:rFonts w:ascii="Aptos" w:hAnsi="Aptos"/>
          <w:b w:val="0"/>
          <w:i w:val="0"/>
          <w:color w:val="1E2F38"/>
          <w:sz w:val="20"/>
        </w:rPr>
        <w:t>Referral completion and time from risk flag to clinical review.</w:t>
      </w:r>
    </w:p>
    <w:p>
      <w:pPr>
        <w:pStyle w:val="ListBullet"/>
        <w:spacing w:after="40"/>
      </w:pPr>
      <w:r>
        <w:rPr>
          <w:rFonts w:ascii="Aptos" w:hAnsi="Aptos"/>
          <w:b w:val="0"/>
          <w:i w:val="0"/>
          <w:color w:val="1E2F38"/>
          <w:sz w:val="20"/>
        </w:rPr>
        <w:t>Maternal, NCD, and surveillance alerts reviewed and acted upon.</w:t>
      </w:r>
    </w:p>
    <w:p>
      <w:pPr>
        <w:pStyle w:val="ListBullet"/>
        <w:spacing w:after="40"/>
      </w:pPr>
      <w:r>
        <w:rPr>
          <w:rFonts w:ascii="Aptos" w:hAnsi="Aptos"/>
          <w:b w:val="0"/>
          <w:i w:val="0"/>
          <w:color w:val="1E2F38"/>
          <w:sz w:val="20"/>
        </w:rPr>
        <w:t>Data completeness, duplicate rate, and correction time.</w:t>
      </w:r>
    </w:p>
    <w:p>
      <w:pPr>
        <w:pStyle w:val="ListBullet"/>
        <w:spacing w:after="40"/>
      </w:pPr>
      <w:r>
        <w:rPr>
          <w:rFonts w:ascii="Aptos" w:hAnsi="Aptos"/>
          <w:b w:val="0"/>
          <w:i w:val="0"/>
          <w:color w:val="1E2F38"/>
          <w:sz w:val="20"/>
        </w:rPr>
        <w:t>Facility/partner willingness to pay and signed pilot commitments.</w:t>
      </w:r>
    </w:p>
    <w:p>
      <w:pPr>
        <w:pStyle w:val="Heading1"/>
        <w:spacing w:before="160" w:after="100"/>
      </w:pPr>
      <w:r>
        <w:t>8. Accelerator support requested</w:t>
      </w:r>
    </w:p>
    <w:tbl>
      <w:tblPr>
        <w:tblW w:type="auto" w:w="0"/>
        <w:jc w:val="center"/>
        <w:tblLayout w:type="fixed"/>
        <w:tblLook w:firstColumn="1" w:firstRow="1" w:lastColumn="0" w:lastRow="0" w:noHBand="0" w:noVBand="1" w:val="04A0"/>
      </w:tblPr>
      <w:tblGrid>
        <w:gridCol w:w="4917"/>
        <w:gridCol w:w="4917"/>
      </w:tblGrid>
      <w:tr>
        <w:tc>
          <w:tcPr>
            <w:tcW w:type="dxa" w:w="3312"/>
            <w:shd w:fill="0A1F2E"/>
            <w:tcMar>
              <w:top w:w="80" w:type="dxa"/>
              <w:start w:w="120" w:type="dxa"/>
              <w:bottom w:w="80" w:type="dxa"/>
              <w:end w:w="120" w:type="dxa"/>
            </w:tcMar>
            <w:vAlign w:val="center"/>
          </w:tcPr>
          <w:p>
            <w:r/>
            <w:r>
              <w:rPr>
                <w:rFonts w:ascii="Aptos" w:hAnsi="Aptos"/>
                <w:b/>
                <w:i w:val="0"/>
                <w:color w:val="FFFFFF"/>
                <w:sz w:val="18"/>
              </w:rPr>
              <w:t>Priority</w:t>
            </w:r>
          </w:p>
        </w:tc>
        <w:tc>
          <w:tcPr>
            <w:tcW w:type="dxa" w:w="6192"/>
            <w:shd w:fill="0A1F2E"/>
            <w:tcMar>
              <w:top w:w="80" w:type="dxa"/>
              <w:start w:w="120" w:type="dxa"/>
              <w:bottom w:w="80" w:type="dxa"/>
              <w:end w:w="120" w:type="dxa"/>
            </w:tcMar>
            <w:vAlign w:val="center"/>
          </w:tcPr>
          <w:p>
            <w:r/>
            <w:r>
              <w:rPr>
                <w:rFonts w:ascii="Aptos" w:hAnsi="Aptos"/>
                <w:b/>
                <w:i w:val="0"/>
                <w:color w:val="FFFFFF"/>
                <w:sz w:val="18"/>
              </w:rPr>
              <w:t>Why it matters now</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Validation &amp; Market Research</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Prove user need, buying pathway, and measurable outcomes.</w:t>
            </w:r>
          </w:p>
        </w:tc>
      </w:tr>
      <w:tr>
        <w:tc>
          <w:tcPr>
            <w:tcW w:type="dxa" w:w="3312"/>
            <w:tcMar>
              <w:top w:w="100" w:type="dxa"/>
              <w:start w:w="120" w:type="dxa"/>
              <w:bottom w:w="100" w:type="dxa"/>
              <w:end w:w="120" w:type="dxa"/>
            </w:tcMar>
            <w:vAlign w:val="top"/>
          </w:tcPr>
          <w:p>
            <w:r/>
            <w:r>
              <w:rPr>
                <w:rFonts w:ascii="Aptos" w:hAnsi="Aptos"/>
                <w:b/>
                <w:i w:val="0"/>
                <w:color w:val="1E2F38"/>
                <w:sz w:val="18"/>
              </w:rPr>
              <w:t>Product Development</w:t>
            </w:r>
          </w:p>
        </w:tc>
        <w:tc>
          <w:tcPr>
            <w:tcW w:type="dxa" w:w="6192"/>
            <w:tcMar>
              <w:top w:w="100" w:type="dxa"/>
              <w:start w:w="120" w:type="dxa"/>
              <w:bottom w:w="100" w:type="dxa"/>
              <w:end w:w="120" w:type="dxa"/>
            </w:tcMar>
            <w:vAlign w:val="top"/>
          </w:tcPr>
          <w:p>
            <w:r/>
            <w:r>
              <w:rPr>
                <w:rFonts w:ascii="Aptos" w:hAnsi="Aptos"/>
                <w:b w:val="0"/>
                <w:i w:val="0"/>
                <w:color w:val="1E2F38"/>
                <w:sz w:val="18"/>
              </w:rPr>
              <w:t>Improve offline UX, workflow fit, dashboards, and secure EMR/HMS APIs.</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Partnerships &amp; Ecosystem Access</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Secure clinics, districts, programmes, and scale partners.</w:t>
            </w:r>
          </w:p>
        </w:tc>
      </w:tr>
    </w:tbl>
    <w:p>
      <w:pPr>
        <w:spacing w:after="20"/>
      </w:pPr>
    </w:p>
    <w:p>
      <w:pPr>
        <w:spacing w:after="100"/>
      </w:pPr>
      <w:r>
        <w:rPr>
          <w:rFonts w:ascii="Aptos" w:hAnsi="Aptos"/>
          <w:b w:val="0"/>
          <w:i w:val="0"/>
          <w:color w:val="1E2F38"/>
          <w:sz w:val="20"/>
        </w:rPr>
        <w:t>The accelerator directly matches FCHIP's next milestone: validate an Africa-built digital health platform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p>
      <w:pPr>
        <w:pStyle w:val="Heading1"/>
        <w:spacing w:before="160" w:after="100"/>
      </w:pPr>
      <w:r>
        <w:t>9. Risk and governance</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Risk</w:t>
            </w:r>
          </w:p>
        </w:tc>
        <w:tc>
          <w:tcPr>
            <w:tcW w:type="dxa" w:w="6912"/>
            <w:shd w:fill="0A1F2E"/>
            <w:tcMar>
              <w:top w:w="80" w:type="dxa"/>
              <w:start w:w="120" w:type="dxa"/>
              <w:bottom w:w="80" w:type="dxa"/>
              <w:end w:w="120" w:type="dxa"/>
            </w:tcMar>
            <w:vAlign w:val="center"/>
          </w:tcPr>
          <w:p>
            <w:r/>
            <w:r>
              <w:rPr>
                <w:rFonts w:ascii="Aptos" w:hAnsi="Aptos"/>
                <w:b/>
                <w:i w:val="0"/>
                <w:color w:val="FFFFFF"/>
                <w:sz w:val="18"/>
              </w:rPr>
              <w:t>Mitigation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Eligibility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Confirm two founders and demonstrable MVP before submission.</w:t>
            </w:r>
          </w:p>
        </w:tc>
      </w:tr>
      <w:tr>
        <w:tc>
          <w:tcPr>
            <w:tcW w:type="dxa" w:w="2592"/>
            <w:tcMar>
              <w:top w:w="70" w:type="dxa"/>
              <w:start w:w="120" w:type="dxa"/>
              <w:bottom w:w="70" w:type="dxa"/>
              <w:end w:w="120" w:type="dxa"/>
            </w:tcMar>
            <w:vAlign w:val="top"/>
          </w:tcPr>
          <w:p>
            <w:r/>
            <w:r>
              <w:rPr>
                <w:rFonts w:ascii="Aptos" w:hAnsi="Aptos"/>
                <w:b/>
                <w:i w:val="0"/>
                <w:color w:val="1E2F38"/>
                <w:sz w:val="17"/>
              </w:rPr>
              <w:t>Data quality</w:t>
            </w:r>
          </w:p>
        </w:tc>
        <w:tc>
          <w:tcPr>
            <w:tcW w:type="dxa" w:w="6912"/>
            <w:tcMar>
              <w:top w:w="70" w:type="dxa"/>
              <w:start w:w="120" w:type="dxa"/>
              <w:bottom w:w="70" w:type="dxa"/>
              <w:end w:w="120" w:type="dxa"/>
            </w:tcMar>
            <w:vAlign w:val="top"/>
          </w:tcPr>
          <w:p>
            <w:r/>
            <w:r>
              <w:rPr>
                <w:rFonts w:ascii="Aptos" w:hAnsi="Aptos"/>
                <w:b w:val="0"/>
                <w:i w:val="0"/>
                <w:color w:val="1E2F38"/>
                <w:sz w:val="17"/>
              </w:rPr>
              <w:t>Use simple forms, validation rules, supervision, and data-quality dashboards.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Privacy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Consent, minimisation, role-based access, audit logs, and Uganda compliance; EMR/HMS APIs use authentication and least-privilege scopes.</w:t>
            </w:r>
          </w:p>
        </w:tc>
      </w:tr>
      <w:tr>
        <w:tc>
          <w:tcPr>
            <w:tcW w:type="dxa" w:w="2592"/>
            <w:tcMar>
              <w:top w:w="70" w:type="dxa"/>
              <w:start w:w="120" w:type="dxa"/>
              <w:bottom w:w="70" w:type="dxa"/>
              <w:end w:w="120" w:type="dxa"/>
            </w:tcMar>
            <w:vAlign w:val="top"/>
          </w:tcPr>
          <w:p>
            <w:r/>
            <w:r>
              <w:rPr>
                <w:rFonts w:ascii="Aptos" w:hAnsi="Aptos"/>
                <w:b/>
                <w:i w:val="0"/>
                <w:color w:val="1E2F38"/>
                <w:sz w:val="17"/>
              </w:rPr>
              <w:t>EMR/HMS friction</w:t>
            </w:r>
          </w:p>
        </w:tc>
        <w:tc>
          <w:tcPr>
            <w:tcW w:type="dxa" w:w="6912"/>
            <w:tcMar>
              <w:top w:w="70" w:type="dxa"/>
              <w:start w:w="120" w:type="dxa"/>
              <w:bottom w:w="70" w:type="dxa"/>
              <w:end w:w="120" w:type="dxa"/>
            </w:tcMar>
            <w:vAlign w:val="top"/>
          </w:tcPr>
          <w:p>
            <w:r/>
            <w:r>
              <w:rPr>
                <w:rFonts w:ascii="Aptos" w:hAnsi="Aptos"/>
                <w:b w:val="0"/>
                <w:i w:val="0"/>
                <w:color w:val="1E2F38"/>
                <w:sz w:val="17"/>
              </w:rPr>
              <w:t>Expose stable documented APIs; start with FairBanks systems; do not require replacing existing EMR/HMS.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AI accuracy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Begin with interpretable rules and clinician review; validate before automation.</w:t>
            </w:r>
          </w:p>
        </w:tc>
      </w:tr>
      <w:tr>
        <w:tc>
          <w:tcPr>
            <w:tcW w:type="dxa" w:w="2592"/>
            <w:tcMar>
              <w:top w:w="70" w:type="dxa"/>
              <w:start w:w="120" w:type="dxa"/>
              <w:bottom w:w="70" w:type="dxa"/>
              <w:end w:w="120" w:type="dxa"/>
            </w:tcMar>
            <w:vAlign w:val="top"/>
          </w:tcPr>
          <w:p>
            <w:r/>
            <w:r>
              <w:rPr>
                <w:rFonts w:ascii="Aptos" w:hAnsi="Aptos"/>
                <w:b/>
                <w:i w:val="0"/>
                <w:color w:val="1E2F38"/>
                <w:sz w:val="17"/>
              </w:rPr>
              <w:t>Adoption</w:t>
            </w:r>
          </w:p>
        </w:tc>
        <w:tc>
          <w:tcPr>
            <w:tcW w:type="dxa" w:w="6912"/>
            <w:tcMar>
              <w:top w:w="70" w:type="dxa"/>
              <w:start w:w="120" w:type="dxa"/>
              <w:bottom w:w="70" w:type="dxa"/>
              <w:end w:w="120" w:type="dxa"/>
            </w:tcMar>
            <w:vAlign w:val="top"/>
          </w:tcPr>
          <w:p>
            <w:r/>
            <w:r>
              <w:rPr>
                <w:rFonts w:ascii="Aptos" w:hAnsi="Aptos"/>
                <w:b w:val="0"/>
                <w:i w:val="0"/>
                <w:color w:val="1E2F38"/>
                <w:sz w:val="17"/>
              </w:rPr>
              <w:t>Co-design with CHWs, facilities, districts, and programme partners.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Commercial proof</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Test willingness to pay and buying pathways during the pilot.</w:t>
            </w:r>
          </w:p>
        </w:tc>
      </w:tr>
    </w:tbl>
    <w:p>
      <w:pPr>
        <w:spacing w:after="20"/>
      </w:pPr>
    </w:p>
    <w:p>
      <w:r>
        <w:br w:type="page"/>
      </w:r>
    </w:p>
    <w:p>
      <w:pPr>
        <w:pStyle w:val="Heading1"/>
        <w:spacing w:before="160" w:after="100"/>
      </w:pPr>
      <w:r>
        <w:t>10. Submission checklist</w:t>
      </w:r>
    </w:p>
    <w:p>
      <w:pPr>
        <w:spacing w:after="80"/>
      </w:pPr>
      <w:r>
        <w:rPr>
          <w:rFonts w:ascii="Aptos" w:hAnsi="Aptos"/>
          <w:b w:val="0"/>
          <w:i w:val="0"/>
          <w:color w:val="1E2F38"/>
          <w:sz w:val="20"/>
        </w:rPr>
        <w:t>[  ]  Recheck the live deadline and portal availability.</w:t>
      </w:r>
    </w:p>
    <w:p>
      <w:pPr>
        <w:spacing w:after="80"/>
      </w:pPr>
      <w:r>
        <w:rPr>
          <w:rFonts w:ascii="Aptos" w:hAnsi="Aptos"/>
          <w:b w:val="0"/>
          <w:i w:val="0"/>
          <w:color w:val="1E2F38"/>
          <w:sz w:val="20"/>
        </w:rPr>
        <w:t>[  ]  Verify the legal/startup name used in the form.</w:t>
      </w:r>
    </w:p>
    <w:p>
      <w:pPr>
        <w:spacing w:after="80"/>
      </w:pPr>
      <w:r>
        <w:rPr>
          <w:rFonts w:ascii="Aptos" w:hAnsi="Aptos"/>
          <w:b w:val="0"/>
          <w:i w:val="0"/>
          <w:color w:val="1E2F38"/>
          <w:sz w:val="20"/>
        </w:rPr>
        <w:t>[  ]  Complete founder identity, contacts, gender, LinkedIn, and website.</w:t>
      </w:r>
    </w:p>
    <w:p>
      <w:pPr>
        <w:spacing w:after="80"/>
      </w:pPr>
      <w:r>
        <w:rPr>
          <w:rFonts w:ascii="Aptos" w:hAnsi="Aptos"/>
          <w:b w:val="0"/>
          <w:i w:val="0"/>
          <w:color w:val="1E2F38"/>
          <w:sz w:val="20"/>
        </w:rPr>
        <w:t>[  ]  List at least one co-founder and verify total founders is two or more.</w:t>
      </w:r>
    </w:p>
    <w:p>
      <w:pPr>
        <w:spacing w:after="80"/>
      </w:pPr>
      <w:r>
        <w:rPr>
          <w:rFonts w:ascii="Aptos" w:hAnsi="Aptos"/>
          <w:b w:val="0"/>
          <w:i w:val="0"/>
          <w:color w:val="1E2F38"/>
          <w:sz w:val="20"/>
        </w:rPr>
        <w:t>[  ]  Attach evidence of a working FCHIP MVP.</w:t>
      </w:r>
    </w:p>
    <w:p>
      <w:pPr>
        <w:spacing w:after="80"/>
      </w:pPr>
      <w:r>
        <w:rPr>
          <w:rFonts w:ascii="Aptos" w:hAnsi="Aptos"/>
          <w:b w:val="0"/>
          <w:i w:val="0"/>
          <w:color w:val="1E2F38"/>
          <w:sz w:val="20"/>
        </w:rPr>
        <w:t>[  ]  Choose only innovation areas included in the current product.</w:t>
      </w:r>
    </w:p>
    <w:p>
      <w:pPr>
        <w:spacing w:after="80"/>
      </w:pPr>
      <w:r>
        <w:rPr>
          <w:rFonts w:ascii="Aptos" w:hAnsi="Aptos"/>
          <w:b w:val="0"/>
          <w:i w:val="0"/>
          <w:color w:val="1E2F38"/>
          <w:sz w:val="20"/>
        </w:rPr>
        <w:t>[  ]  Enter exact revenue, customer, fundraising, and funding figures.</w:t>
      </w:r>
    </w:p>
    <w:p>
      <w:pPr>
        <w:spacing w:after="80"/>
      </w:pPr>
      <w:r>
        <w:rPr>
          <w:rFonts w:ascii="Aptos" w:hAnsi="Aptos"/>
          <w:b w:val="0"/>
          <w:i w:val="0"/>
          <w:color w:val="1E2F38"/>
          <w:sz w:val="20"/>
        </w:rPr>
        <w:t>[  ]  Name only confirmed current partners.</w:t>
      </w:r>
    </w:p>
    <w:p>
      <w:pPr>
        <w:spacing w:after="80"/>
      </w:pPr>
      <w:r>
        <w:rPr>
          <w:rFonts w:ascii="Aptos" w:hAnsi="Aptos"/>
          <w:b w:val="0"/>
          <w:i w:val="0"/>
          <w:color w:val="1E2F38"/>
          <w:sz w:val="20"/>
        </w:rPr>
        <w:t>[  ]  Confirm 80% session attendance and in-person milestone availability.</w:t>
      </w:r>
    </w:p>
    <w:p>
      <w:pPr>
        <w:spacing w:after="80"/>
      </w:pPr>
      <w:r>
        <w:rPr>
          <w:rFonts w:ascii="Aptos" w:hAnsi="Aptos"/>
          <w:b w:val="0"/>
          <w:i w:val="0"/>
          <w:color w:val="1E2F38"/>
          <w:sz w:val="20"/>
        </w:rPr>
        <w:t>[  ]  Upload the pitch deck; enable public link access; test while signed out.</w:t>
      </w:r>
    </w:p>
    <w:p>
      <w:pPr>
        <w:spacing w:after="80"/>
      </w:pPr>
      <w:r>
        <w:rPr>
          <w:rFonts w:ascii="Aptos" w:hAnsi="Aptos"/>
          <w:b w:val="0"/>
          <w:i w:val="0"/>
          <w:color w:val="1E2F38"/>
          <w:sz w:val="20"/>
        </w:rPr>
        <w:t>[  ]  Proofread all answers against this pack and the official portal.</w:t>
      </w:r>
    </w:p>
    <w:p>
      <w:pPr>
        <w:spacing w:after="80"/>
      </w:pPr>
      <w:r>
        <w:rPr>
          <w:rFonts w:ascii="Aptos" w:hAnsi="Aptos"/>
          <w:b w:val="0"/>
          <w:i w:val="0"/>
          <w:color w:val="1E2F38"/>
          <w:sz w:val="20"/>
        </w:rPr>
        <w:t>[  ]  Submit before the deadline and save the confirmation.</w:t>
      </w:r>
    </w:p>
    <w:p>
      <w:pPr>
        <w:pStyle w:val="Heading1"/>
        <w:spacing w:before="160" w:after="100"/>
      </w:pPr>
      <w:r>
        <w:t>11. Official sources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Source</w:t>
            </w:r>
          </w:p>
        </w:tc>
        <w:tc>
          <w:tcPr>
            <w:tcW w:type="dxa" w:w="6480"/>
            <w:shd w:fill="0A1F2E"/>
            <w:tcMar>
              <w:top w:w="80" w:type="dxa"/>
              <w:start w:w="120" w:type="dxa"/>
              <w:bottom w:w="80" w:type="dxa"/>
              <w:end w:w="120" w:type="dxa"/>
            </w:tcMar>
            <w:vAlign w:val="center"/>
          </w:tcPr>
          <w:p>
            <w:r/>
            <w:r>
              <w:rPr>
                <w:rFonts w:ascii="Aptos" w:hAnsi="Aptos"/>
                <w:b/>
                <w:i w:val="0"/>
                <w:color w:val="FFFFFF"/>
                <w:sz w:val="18"/>
              </w:rPr>
              <w:t>URL</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Programme home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w:t>
            </w:r>
          </w:p>
        </w:tc>
      </w:tr>
      <w:tr>
        <w:tc>
          <w:tcPr>
            <w:tcW w:type="dxa" w:w="3024"/>
            <w:tcMar>
              <w:top w:w="70" w:type="dxa"/>
              <w:start w:w="120" w:type="dxa"/>
              <w:bottom w:w="70" w:type="dxa"/>
              <w:end w:w="120" w:type="dxa"/>
            </w:tcMar>
            <w:vAlign w:val="top"/>
          </w:tcPr>
          <w:p>
            <w:r/>
            <w:r>
              <w:rPr>
                <w:rFonts w:ascii="Aptos" w:hAnsi="Aptos"/>
                <w:b/>
                <w:i w:val="0"/>
                <w:color w:val="1E2F38"/>
                <w:sz w:val="17"/>
              </w:rPr>
              <w:t>Application portal</w:t>
            </w:r>
          </w:p>
        </w:tc>
        <w:tc>
          <w:tcPr>
            <w:tcW w:type="dxa" w:w="6480"/>
            <w:tcMar>
              <w:top w:w="70" w:type="dxa"/>
              <w:start w:w="120" w:type="dxa"/>
              <w:bottom w:w="70" w:type="dxa"/>
              <w:end w:w="120" w:type="dxa"/>
            </w:tcMar>
            <w:vAlign w:val="top"/>
          </w:tcPr>
          <w:p>
            <w:r/>
            <w:r>
              <w:rPr>
                <w:rFonts w:ascii="Aptos" w:hAnsi="Aptos"/>
                <w:b w:val="0"/>
                <w:i w:val="0"/>
                <w:color w:val="1E2F38"/>
                <w:sz w:val="17"/>
              </w:rPr>
              <w:t>https://accelerator.africahealthexcon.com/apply</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Official programme article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https://accelerator.africahealthexcon.com/publications</w:t>
            </w:r>
          </w:p>
        </w:tc>
      </w:tr>
      <w:tr>
        <w:tc>
          <w:tcPr>
            <w:tcW w:type="dxa" w:w="3024"/>
            <w:tcMar>
              <w:top w:w="70" w:type="dxa"/>
              <w:start w:w="120" w:type="dxa"/>
              <w:bottom w:w="70" w:type="dxa"/>
              <w:end w:w="120" w:type="dxa"/>
            </w:tcMar>
            <w:vAlign w:val="top"/>
          </w:tcPr>
          <w:p>
            <w:r/>
            <w:r>
              <w:rPr>
                <w:rFonts w:ascii="Aptos" w:hAnsi="Aptos"/>
                <w:b/>
                <w:i w:val="0"/>
                <w:color w:val="1E2F38"/>
                <w:sz w:val="17"/>
              </w:rPr>
              <w:t>Official deadline-extension post</w:t>
            </w:r>
          </w:p>
        </w:tc>
        <w:tc>
          <w:tcPr>
            <w:tcW w:type="dxa" w:w="6480"/>
            <w:tcMar>
              <w:top w:w="70" w:type="dxa"/>
              <w:start w:w="120" w:type="dxa"/>
              <w:bottom w:w="70" w:type="dxa"/>
              <w:end w:w="120" w:type="dxa"/>
            </w:tcMar>
            <w:vAlign w:val="top"/>
          </w:tcPr>
          <w:p>
            <w:r/>
            <w:r>
              <w:rPr>
                <w:rFonts w:ascii="Aptos" w:hAnsi="Aptos"/>
                <w:b w:val="0"/>
                <w:i w:val="0"/>
                <w:color w:val="1E2F38"/>
                <w:sz w:val="17"/>
              </w:rPr>
              <w:t>https://www.linkedin.com/posts/africa-health-tech-accelerator_healthtechstartup-healthtech-digitalhealth-activity-7477401395688574976-TAof</w:t>
            </w:r>
          </w:p>
        </w:tc>
      </w:tr>
    </w:tbl>
    <w:p>
      <w:pPr>
        <w:spacing w:after="20"/>
      </w:pPr>
    </w:p>
    <w:p>
      <w:pPr>
        <w:spacing w:after="100"/>
      </w:pPr>
      <w:r>
        <w:rPr>
          <w:rFonts w:ascii="Aptos" w:hAnsi="Aptos"/>
          <w:b w:val="0"/>
          <w:i/>
          <w:color w:val="52636C"/>
          <w:sz w:val="18"/>
        </w:rPr>
        <w:t>Source check date: 19 July 2026. The official portal wins if any detail changes.</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2636C"/>
        <w:sz w:val="16"/>
      </w:rPr>
      <w:t xml:space="preserve">Your health, our mission.  |  Application working pack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val="0"/>
        <w:i w:val="0"/>
        <w:color w:val="52636C"/>
        <w:sz w:val="16"/>
      </w:rPr>
      <w:t>FCHIP | Africa Health-Tech Accelerator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F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1F2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D6E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C45C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A1F2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g"/><Relationship Id="rId13" Type="http://schemas.openxmlformats.org/officeDocument/2006/relationships/image" Target="media/image3.jpeg"/><Relationship Id="rId14" Type="http://schemas.openxmlformats.org/officeDocument/2006/relationships/image" Target="media/image4.png"/><Relationship Id="rId15"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