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Official sources and filing map</w:t>
      </w:r>
    </w:p>
    <w:p>
      <w:pPr>
        <w:pStyle w:val="Subtitle"/>
      </w:pPr>
      <w:r>
        <w:t>Uganda | Requirements checked 26 October 2026</w:t>
      </w:r>
    </w:p>
    <w:p>
      <w:pPr>
        <w:pStyle w:val="Heading1"/>
      </w:pPr>
      <w:r>
        <w:t>Filing map and continuing responsibilities</w:t>
      </w:r>
    </w:p>
    <w:p>
      <w:r>
        <w:t>This package was prepared for Uganda using the supplied WhatsApp conversation of 21 October 2026, Goal Hint's repository service descriptions and the official sources below, checked on 26 October 2026. Missing identity and corporate facts have been left for completion. No registration or payment application has been submitted.</w:t>
      </w:r>
    </w:p>
    <w:p>
      <w:pPr>
        <w:pStyle w:val="Heading2"/>
      </w:pPr>
      <w:r>
        <w:t>Official forms and certificates</w:t>
      </w:r>
    </w:p>
    <w:p>
      <w:pPr>
        <w:pStyle w:val="ListBullet"/>
      </w:pPr>
      <w:r>
        <w:t>Use URSB's current OBRS or official process for the incorporation application, nominal capital, registered office and director particulars. Prepare the SMC nominee Form 1 separately as required. The 2023 Regulations use Form 21 for office and Form 23 for director or secretary appointment; providers may still ask for legacy Forms 18 and 20. Confirm the equivalent by document purpose.</w:t>
      </w:r>
    </w:p>
    <w:p>
      <w:pPr>
        <w:pStyle w:val="ListBullet"/>
      </w:pPr>
      <w:r>
        <w:t>The editable memorandum and standard-articles adoption follow URSB's lean SMC model. Request the official schedule as an attachment where the registrar or bank requires full printed articles. Do not add bespoke articles unless needed.</w:t>
      </w:r>
    </w:p>
    <w:p>
      <w:pPr>
        <w:pStyle w:val="ListBullet"/>
      </w:pPr>
      <w:r>
        <w:t>URSB must issue the incorporation certificate. URA must issue the company TIN. Official certified copies, notarisation or certification must be obtained from the appropriate institution or qualified person when required.</w:t>
      </w:r>
    </w:p>
    <w:p>
      <w:pPr>
        <w:pStyle w:val="ListBullet"/>
      </w:pPr>
      <w:r>
        <w:t>The internal ownership register does not replace the official beneficial ownership return. Obtain and keep an acknowledgement of the prescribed filing.</w:t>
      </w:r>
    </w:p>
    <w:p>
      <w:pPr>
        <w:pStyle w:val="ListBullet"/>
      </w:pPr>
      <w:r>
        <w:t>Airtel's published checklist concerns a merchant account and contains old form numbers. MTN production documentation depends on country and entity type. Ask each provider for its current Uganda API checklist.</w:t>
      </w:r>
    </w:p>
    <w:p>
      <w:pPr>
        <w:pStyle w:val="Heading2"/>
      </w:pPr>
      <w:r>
        <w:t>After incorporation</w:t>
      </w:r>
    </w:p>
    <w:p>
      <w:pPr>
        <w:pStyle w:val="ListBullet"/>
      </w:pPr>
      <w:r>
        <w:t>Keep the member, director, nominee, office, beneficial ownership and minute records current; make change filings and annual returns when due under the current rules. Record actual due dates with URSB or the filing agent.</w:t>
      </w:r>
    </w:p>
    <w:p>
      <w:pPr>
        <w:pStyle w:val="ListBullet"/>
      </w:pPr>
      <w:r>
        <w:t>Maintain proper accounts and payment records; establish applicable tax registrations, filing dates and invoices with URA. Add payroll and employment obligations when staff are engaged.</w:t>
      </w:r>
    </w:p>
    <w:p>
      <w:pPr>
        <w:pStyle w:val="ListBullet"/>
      </w:pPr>
      <w:r>
        <w:t>Confirm local trading permission for the actual premises. Address PDPO registration and renewal for the platform's personal-data activities, and implement its privacy and cross-border requirements.</w:t>
      </w:r>
    </w:p>
    <w:p>
      <w:pPr>
        <w:pStyle w:val="ListBullet"/>
      </w:pPr>
      <w:r>
        <w:t>Confirm rights to use third-party football data, logos and reporting in paid content. A data subscription or attribution alone may not establish all commercial reuse rights.</w:t>
      </w:r>
    </w:p>
    <w:p>
      <w:pPr>
        <w:pStyle w:val="ListBullet"/>
      </w:pPr>
      <w:r>
        <w:t>Keep provider contracts, settlement and refund records, periodic KYC updates and evidence of production authorisation. Match website policies and payment screens to the approved live service.</w:t>
      </w:r>
    </w:p>
    <w:p>
      <w:pPr>
        <w:spacing w:after="140"/>
      </w:pPr>
      <w:r>
        <w:rPr>
          <w:b/>
        </w:rPr>
        <w:t xml:space="preserve">Person responsible for filings: </w:t>
      </w:r>
      <w:r>
        <w:t>[NAME_AND_CONTACT]</w:t>
      </w:r>
    </w:p>
    <w:p>
      <w:pPr>
        <w:spacing w:after="140"/>
      </w:pPr>
      <w:r>
        <w:rPr>
          <w:b/>
        </w:rPr>
        <w:t xml:space="preserve">Next review and actual filing due dates: </w:t>
      </w:r>
      <w:r>
        <w:t>[REVIEW_DATE]  [DUE_DATES_CONFIRMED_WITH_AUTHORITY]</w:t>
      </w:r>
    </w:p>
    <w:p>
      <w:r>
        <w:br w:type="page"/>
      </w:r>
    </w:p>
    <w:p>
      <w:pPr>
        <w:pStyle w:val="Heading1"/>
      </w:pPr>
      <w:r>
        <w:t>Official sources</w:t>
      </w:r>
    </w:p>
    <w:p>
      <w:pPr>
        <w:pStyle w:val="Heading2"/>
      </w:pPr>
      <w:r>
        <w:t>URSB company fees</w:t>
      </w:r>
    </w:p>
    <w:p>
      <w:r>
        <w:t>Published reservation and incorporation tariffs; confirm current official assessment and additional charges.</w:t>
      </w:r>
    </w:p>
    <w:p>
      <w:pPr>
        <w:spacing w:after="140"/>
      </w:pPr>
      <w:hyperlink r:id="rId10">
        <w:r>
          <w:rPr>
            <w:color w:val="000000"/>
            <w:u w:val="single"/>
          </w:rPr>
          <w:t>Open official source</w:t>
        </w:r>
      </w:hyperlink>
    </w:p>
    <w:p>
      <w:pPr>
        <w:pStyle w:val="Heading2"/>
      </w:pPr>
      <w:r>
        <w:t>URSB business registration forms</w:t>
      </w:r>
    </w:p>
    <w:p>
      <w:r>
        <w:t>Find the current official filings rather than treating the preparation sheets as prescribed forms.</w:t>
      </w:r>
    </w:p>
    <w:p>
      <w:pPr>
        <w:spacing w:after="140"/>
      </w:pPr>
      <w:hyperlink r:id="rId11">
        <w:r>
          <w:rPr>
            <w:color w:val="000000"/>
            <w:u w:val="single"/>
          </w:rPr>
          <w:t>Open official source</w:t>
        </w:r>
      </w:hyperlink>
    </w:p>
    <w:p>
      <w:pPr>
        <w:pStyle w:val="Heading2"/>
      </w:pPr>
      <w:r>
        <w:t>URSB lean SMC memorandum and articles</w:t>
      </w:r>
    </w:p>
    <w:p>
      <w:r>
        <w:t>Model for the editable memorandum and adoption without modification of the statutory SMC articles.</w:t>
      </w:r>
    </w:p>
    <w:p>
      <w:pPr>
        <w:spacing w:after="140"/>
      </w:pPr>
      <w:hyperlink r:id="rId12">
        <w:r>
          <w:rPr>
            <w:color w:val="000000"/>
            <w:u w:val="single"/>
          </w:rPr>
          <w:t>Open official source</w:t>
        </w:r>
      </w:hyperlink>
    </w:p>
    <w:p>
      <w:pPr>
        <w:pStyle w:val="Heading2"/>
      </w:pPr>
      <w:r>
        <w:t>URSB standard SMC articles</w:t>
      </w:r>
    </w:p>
    <w:p>
      <w:r>
        <w:t>Standard company governance, member director, optional secretary and written decision requirements.</w:t>
      </w:r>
    </w:p>
    <w:p>
      <w:pPr>
        <w:spacing w:after="140"/>
      </w:pPr>
      <w:hyperlink r:id="rId13">
        <w:r>
          <w:rPr>
            <w:color w:val="000000"/>
            <w:u w:val="single"/>
          </w:rPr>
          <w:t>Open official source</w:t>
        </w:r>
      </w:hyperlink>
    </w:p>
    <w:p>
      <w:pPr>
        <w:pStyle w:val="Heading2"/>
      </w:pPr>
      <w:r>
        <w:t>URSB SMC nominee Form 1</w:t>
      </w:r>
    </w:p>
    <w:p>
      <w:r>
        <w:t>Nominee and alternate particulars and actual consents. Use the current form accepted by the registrar.</w:t>
      </w:r>
    </w:p>
    <w:p>
      <w:pPr>
        <w:spacing w:after="140"/>
      </w:pPr>
      <w:hyperlink r:id="rId14">
        <w:r>
          <w:rPr>
            <w:color w:val="000000"/>
            <w:u w:val="single"/>
          </w:rPr>
          <w:t>Open official source</w:t>
        </w:r>
      </w:hyperlink>
    </w:p>
    <w:p>
      <w:pPr>
        <w:pStyle w:val="Heading2"/>
      </w:pPr>
      <w:r>
        <w:t>URSB explanation of Single Member Companies</w:t>
      </w:r>
    </w:p>
    <w:p>
      <w:r>
        <w:t>Distinguishes the sole member, nominees and succession; not automatic inheritance by a secretary.</w:t>
      </w:r>
    </w:p>
    <w:p>
      <w:pPr>
        <w:spacing w:after="140"/>
      </w:pPr>
      <w:hyperlink r:id="rId15">
        <w:r>
          <w:rPr>
            <w:color w:val="000000"/>
            <w:u w:val="single"/>
          </w:rPr>
          <w:t>Open official source</w:t>
        </w:r>
      </w:hyperlink>
    </w:p>
    <w:p>
      <w:pPr>
        <w:pStyle w:val="Heading2"/>
      </w:pPr>
      <w:r>
        <w:t>Companies Regulations 2023</w:t>
      </w:r>
    </w:p>
    <w:p>
      <w:r>
        <w:t>Current numbering includes Form 21 for office particulars and Form 23 for director or secretary appointment. Institutional checklists may still use older numbers.</w:t>
      </w:r>
    </w:p>
    <w:p>
      <w:pPr>
        <w:spacing w:after="140"/>
      </w:pPr>
      <w:hyperlink r:id="rId16">
        <w:r>
          <w:rPr>
            <w:color w:val="000000"/>
            <w:u w:val="single"/>
          </w:rPr>
          <w:t>Open official source</w:t>
        </w:r>
      </w:hyperlink>
    </w:p>
    <w:p>
      <w:pPr>
        <w:pStyle w:val="Heading2"/>
      </w:pPr>
      <w:r>
        <w:t>URSB beneficial ownership notice</w:t>
      </w:r>
    </w:p>
    <w:p>
      <w:r>
        <w:t>Internal beneficial ownership register and notification within 14 days of creating it; check current change filings.</w:t>
      </w:r>
    </w:p>
    <w:p>
      <w:pPr>
        <w:spacing w:after="140"/>
      </w:pPr>
      <w:hyperlink r:id="rId17">
        <w:r>
          <w:rPr>
            <w:color w:val="000000"/>
            <w:u w:val="single"/>
          </w:rPr>
          <w:t>Open official source</w:t>
        </w:r>
      </w:hyperlink>
    </w:p>
    <w:p>
      <w:r>
        <w:br w:type="page"/>
      </w:r>
    </w:p>
    <w:p>
      <w:pPr>
        <w:pStyle w:val="Heading1"/>
      </w:pPr>
      <w:r>
        <w:t>Official sources</w:t>
      </w:r>
    </w:p>
    <w:p>
      <w:pPr>
        <w:pStyle w:val="Heading2"/>
      </w:pPr>
      <w:r>
        <w:t>URA TIN application</w:t>
      </w:r>
    </w:p>
    <w:p>
      <w:r>
        <w:t>Company tax registration, required evidence and free TIN issuance.</w:t>
      </w:r>
    </w:p>
    <w:p>
      <w:pPr>
        <w:spacing w:after="140"/>
      </w:pPr>
      <w:hyperlink r:id="rId18">
        <w:r>
          <w:rPr>
            <w:color w:val="000000"/>
            <w:u w:val="single"/>
          </w:rPr>
          <w:t>Open official source</w:t>
        </w:r>
      </w:hyperlink>
    </w:p>
    <w:p>
      <w:pPr>
        <w:pStyle w:val="Heading2"/>
      </w:pPr>
      <w:r>
        <w:t>URA business formalisation</w:t>
      </w:r>
    </w:p>
    <w:p>
      <w:r>
        <w:t>Incorporation, tax registration and local trading permission are separate steps.</w:t>
      </w:r>
    </w:p>
    <w:p>
      <w:pPr>
        <w:spacing w:after="140"/>
      </w:pPr>
      <w:hyperlink r:id="rId19">
        <w:r>
          <w:rPr>
            <w:color w:val="000000"/>
            <w:u w:val="single"/>
          </w:rPr>
          <w:t>Open official source</w:t>
        </w:r>
      </w:hyperlink>
    </w:p>
    <w:p>
      <w:pPr>
        <w:pStyle w:val="Heading2"/>
      </w:pPr>
      <w:r>
        <w:t>Government PDPO registration checklist</w:t>
      </w:r>
    </w:p>
    <w:p>
      <w:r>
        <w:t>Registration application, fee, renewal and supporting information about personal data processing.</w:t>
      </w:r>
    </w:p>
    <w:p>
      <w:pPr>
        <w:spacing w:after="140"/>
      </w:pPr>
      <w:hyperlink r:id="rId20">
        <w:r>
          <w:rPr>
            <w:color w:val="000000"/>
            <w:u w:val="single"/>
          </w:rPr>
          <w:t>Open official source</w:t>
        </w:r>
      </w:hyperlink>
    </w:p>
    <w:p>
      <w:pPr>
        <w:pStyle w:val="Heading2"/>
      </w:pPr>
      <w:r>
        <w:t>MTN Uganda Open API</w:t>
      </w:r>
    </w:p>
    <w:p>
      <w:r>
        <w:t>Distinguishes Collections, Disbursements and Remittances. Goal Hint seeks collections for own-service sales.</w:t>
      </w:r>
    </w:p>
    <w:p>
      <w:pPr>
        <w:spacing w:after="140"/>
      </w:pPr>
      <w:hyperlink r:id="rId21">
        <w:r>
          <w:rPr>
            <w:color w:val="000000"/>
            <w:u w:val="single"/>
          </w:rPr>
          <w:t>Open official source</w:t>
        </w:r>
      </w:hyperlink>
    </w:p>
    <w:p>
      <w:pPr>
        <w:pStyle w:val="Heading2"/>
      </w:pPr>
      <w:r>
        <w:t>MTN official production onboarding guidance</w:t>
      </w:r>
    </w:p>
    <w:p>
      <w:r>
        <w:t>Sandbox tests, GoLive, country-specific KYC and contract process; obtain Uganda's current checklist.</w:t>
      </w:r>
    </w:p>
    <w:p>
      <w:pPr>
        <w:spacing w:after="140"/>
      </w:pPr>
      <w:hyperlink r:id="rId22">
        <w:r>
          <w:rPr>
            <w:color w:val="000000"/>
            <w:u w:val="single"/>
          </w:rPr>
          <w:t>Open official source</w:t>
        </w:r>
      </w:hyperlink>
    </w:p>
    <w:p>
      <w:pPr>
        <w:pStyle w:val="Heading2"/>
      </w:pPr>
      <w:r>
        <w:t>MTN GoLive</w:t>
      </w:r>
    </w:p>
    <w:p>
      <w:r>
        <w:t>Provider entry point for production application, not an existing approval.</w:t>
      </w:r>
    </w:p>
    <w:p>
      <w:pPr>
        <w:spacing w:after="140"/>
      </w:pPr>
      <w:hyperlink r:id="rId23">
        <w:r>
          <w:rPr>
            <w:color w:val="000000"/>
            <w:u w:val="single"/>
          </w:rPr>
          <w:t>Open official source</w:t>
        </w:r>
      </w:hyperlink>
    </w:p>
    <w:p>
      <w:pPr>
        <w:pStyle w:val="Heading2"/>
      </w:pPr>
      <w:r>
        <w:t>Airtel Money Uganda merchant FAQs 2026</w:t>
      </w:r>
    </w:p>
    <w:p>
      <w:r>
        <w:t>Formal merchant evidence includes incorporation, constitution, director and office records, licence or equivalent, IDs and TIN. Merchant-code onboarding differs from API approval.</w:t>
      </w:r>
    </w:p>
    <w:p>
      <w:pPr>
        <w:spacing w:after="140"/>
      </w:pPr>
      <w:hyperlink r:id="rId24">
        <w:r>
          <w:rPr>
            <w:color w:val="000000"/>
            <w:u w:val="single"/>
          </w:rPr>
          <w:t>Open official source</w:t>
        </w:r>
      </w:hyperlink>
    </w:p>
    <w:p>
      <w:r>
        <w:br w:type="page"/>
      </w:r>
    </w:p>
    <w:p>
      <w:pPr>
        <w:pStyle w:val="Heading1"/>
      </w:pPr>
      <w:r>
        <w:t>Official sources</w:t>
      </w:r>
    </w:p>
    <w:p>
      <w:pPr>
        <w:pStyle w:val="Heading2"/>
      </w:pPr>
      <w:r>
        <w:t>Airtel Africa developer portal</w:t>
      </w:r>
    </w:p>
    <w:p>
      <w:r>
        <w:t>Developer application, country and product onboarding. Confirm Uganda's live API conditions directly.</w:t>
      </w:r>
    </w:p>
    <w:p>
      <w:pPr>
        <w:spacing w:after="140"/>
      </w:pPr>
      <w:hyperlink r:id="rId25">
        <w:r>
          <w:rPr>
            <w:color w:val="000000"/>
            <w:u w:val="single"/>
          </w:rPr>
          <w:t>Open official source</w:t>
        </w:r>
      </w:hyperlink>
    </w:p>
    <w:p>
      <w:pPr>
        <w:pStyle w:val="Heading2"/>
      </w:pPr>
      <w:r>
        <w:t>Bank of Uganda oversight framework 2025</w:t>
      </w:r>
    </w:p>
    <w:p>
      <w:r>
        <w:t>Payment-service perimeter and restricted-use instruments, printed page 9; does not classify Goal Hint's implementation.</w:t>
      </w:r>
    </w:p>
    <w:p>
      <w:pPr>
        <w:spacing w:after="140"/>
      </w:pPr>
      <w:hyperlink r:id="rId26">
        <w:r>
          <w:rPr>
            <w:color w:val="000000"/>
            <w:u w:val="single"/>
          </w:rPr>
          <w:t>Open official source</w:t>
        </w:r>
      </w:hyperlink>
    </w:p>
    <w:p>
      <w:pPr>
        <w:pStyle w:val="Heading2"/>
      </w:pPr>
      <w:r>
        <w:t>Equity Uganda business current account</w:t>
      </w:r>
    </w:p>
    <w:p>
      <w:r>
        <w:t>Example company-account due diligence; selected banks may require different certification and mandate forms.</w:t>
      </w:r>
    </w:p>
    <w:p>
      <w:pPr>
        <w:spacing w:after="140"/>
      </w:pPr>
      <w:hyperlink r:id="rId27">
        <w:r>
          <w:rPr>
            <w:color w:val="000000"/>
            <w:u w:val="single"/>
          </w:rPr>
          <w:t>Open official source</w:t>
        </w:r>
      </w:hyperlink>
    </w:p>
    <w:p>
      <w:pPr>
        <w:pStyle w:val="Heading2"/>
      </w:pPr>
      <w:r>
        <w:t>Example gateway Uganda onboarding</w:t>
      </w:r>
    </w:p>
    <w:p>
      <w:r>
        <w:t>Example entity and settlement evidence for broader online channels. Verify current Uganda channels, authorisation and acceptance before choosing a gateway.</w:t>
      </w:r>
    </w:p>
    <w:p>
      <w:pPr>
        <w:spacing w:after="140"/>
      </w:pPr>
      <w:hyperlink r:id="rId28">
        <w:r>
          <w:rPr>
            <w:color w:val="000000"/>
            <w:u w:val="single"/>
          </w:rPr>
          <w:t>Open official source</w:t>
        </w:r>
      </w:hyperlink>
    </w:p>
    <w:p>
      <w:pPr>
        <w:pStyle w:val="Heading2"/>
      </w:pPr>
      <w:r>
        <w:t>NITA electronic transactions consumer guidance</w:t>
      </w:r>
    </w:p>
    <w:p>
      <w:r>
        <w:t>Electronic seller disclosures and consumer cancellation and refund rights, subject to the Act's scope and exceptions.</w:t>
      </w:r>
    </w:p>
    <w:p>
      <w:pPr>
        <w:spacing w:after="140"/>
      </w:pPr>
      <w:hyperlink r:id="rId29">
        <w:r>
          <w:rPr>
            <w:color w:val="000000"/>
            <w:u w:val="single"/>
          </w:rPr>
          <w:t>Open official source</w:t>
        </w:r>
      </w:hyperlink>
    </w:p>
    <w:p>
      <w:pPr>
        <w:pStyle w:val="Heading2"/>
      </w:pPr>
      <w:r>
        <w:t>Personal Data Protection Office</w:t>
      </w:r>
    </w:p>
    <w:p>
      <w:r>
        <w:t>Current data protection registration, privacy and complaints guidance.</w:t>
      </w:r>
    </w:p>
    <w:p>
      <w:pPr>
        <w:spacing w:after="140"/>
      </w:pPr>
      <w:hyperlink r:id="rId30">
        <w:r>
          <w:rPr>
            <w:color w:val="000000"/>
            <w:u w:val="single"/>
          </w:rPr>
          <w:t>Open official source</w:t>
        </w:r>
      </w:hyperlink>
    </w:p>
    <w:p>
      <w:pPr>
        <w:pStyle w:val="Heading2"/>
      </w:pPr>
      <w:r>
        <w:t>Data Protection and Privacy Act 2019</w:t>
      </w:r>
    </w:p>
    <w:p>
      <w:r>
        <w:t>Official legal text for personal-data handling, lawful processing grounds and the rights addressed in the proposed privacy notice.</w:t>
      </w:r>
    </w:p>
    <w:p>
      <w:pPr>
        <w:spacing w:after="140"/>
      </w:pPr>
      <w:hyperlink r:id="rId31">
        <w:r>
          <w:rPr>
            <w:color w:val="000000"/>
            <w:u w:val="single"/>
          </w:rPr>
          <w:t>Open official source</w:t>
        </w:r>
      </w:hyperlink>
    </w:p>
    <w:p>
      <w:pPr>
        <w:pStyle w:val="Heading2"/>
      </w:pPr>
      <w:r>
        <w:t>NLGRB published Lotteries and Gaming Act</w:t>
      </w:r>
    </w:p>
    <w:p>
      <w:r>
        <w:t>Background for a scope clarification if requested. The information-service description is factual and does not claim a blanket licensing exemption.</w:t>
      </w:r>
    </w:p>
    <w:p>
      <w:pPr>
        <w:spacing w:after="140"/>
      </w:pPr>
      <w:hyperlink r:id="rId32">
        <w:r>
          <w:rPr>
            <w:color w:val="000000"/>
            <w:u w:val="single"/>
          </w:rPr>
          <w:t>Open official source</w:t>
        </w:r>
      </w:hyperlink>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ursb.go.ug/business-company-and-document-registration-fees/" TargetMode="External"/><Relationship Id="rId11" Type="http://schemas.openxmlformats.org/officeDocument/2006/relationships/hyperlink" Target="https://ursb.go.ug/business-registration-forms/" TargetMode="External"/><Relationship Id="rId12" Type="http://schemas.openxmlformats.org/officeDocument/2006/relationships/hyperlink" Target="https://ursb.go.ug/wp-content/uploads/2025/01/single-member-company-lean-memarts-1661925606.pdf" TargetMode="External"/><Relationship Id="rId13" Type="http://schemas.openxmlformats.org/officeDocument/2006/relationships/hyperlink" Target="https://ursb.go.ug/wp-content/uploads/2025/01/single-member-company-articles-1661926020.pdf" TargetMode="External"/><Relationship Id="rId14" Type="http://schemas.openxmlformats.org/officeDocument/2006/relationships/hyperlink" Target="https://ursb.go.ug/wp-content/uploads/2025/01/notice-of-nomination-of-nominee-director-and-alternate-nominee-director-by-single-member-1639049007.pdf" TargetMode="External"/><Relationship Id="rId15" Type="http://schemas.openxmlformats.org/officeDocument/2006/relationships/hyperlink" Target="https://ursb.go.ug/wp-content/uploads/2025/05/newsletter-june-2018.pdf" TargetMode="External"/><Relationship Id="rId16" Type="http://schemas.openxmlformats.org/officeDocument/2006/relationships/hyperlink" Target="https://ursb.go.ug/wp-content/uploads/2026/02/The-Companies-Regulations-2023.pdf" TargetMode="External"/><Relationship Id="rId17" Type="http://schemas.openxmlformats.org/officeDocument/2006/relationships/hyperlink" Target="https://ursb.go.ug/storage/publications/downloads/requirement-to-submit-beneficial-ownership-information-1673425355.pdf" TargetMode="External"/><Relationship Id="rId18" Type="http://schemas.openxmlformats.org/officeDocument/2006/relationships/hyperlink" Target="https://ura.go.ug/en/domestic-taxes/tin-application/" TargetMode="External"/><Relationship Id="rId19" Type="http://schemas.openxmlformats.org/officeDocument/2006/relationships/hyperlink" Target="https://ura.go.ug/en/business-formalisation/" TargetMode="External"/><Relationship Id="rId20" Type="http://schemas.openxmlformats.org/officeDocument/2006/relationships/hyperlink" Target="https://doingbusiness.finance.go.ug/licensing/pdpo-data-protection-registration" TargetMode="External"/><Relationship Id="rId21" Type="http://schemas.openxmlformats.org/officeDocument/2006/relationships/hyperlink" Target="https://www.mtn.co.ug/helppersonal/mtn-open-api/" TargetMode="External"/><Relationship Id="rId22" Type="http://schemas.openxmlformats.org/officeDocument/2006/relationships/hyperlink" Target="https://momodevelopercommunity.mtn.com/getting-started-in-the-community-2/open-a-business-account-with-momo-from-mtn-232" TargetMode="External"/><Relationship Id="rId23" Type="http://schemas.openxmlformats.org/officeDocument/2006/relationships/hyperlink" Target="https://momodeveloper.mtn.com/golive" TargetMode="External"/><Relationship Id="rId24" Type="http://schemas.openxmlformats.org/officeDocument/2006/relationships/hyperlink" Target="https://cdn-webportal.airtelstream.net/website/uganda/assets/pdf/Airtel-Money-Pay-Merchant-FAQs-2026.pdf" TargetMode="External"/><Relationship Id="rId25" Type="http://schemas.openxmlformats.org/officeDocument/2006/relationships/hyperlink" Target="https://developers.airtel.africa/" TargetMode="External"/><Relationship Id="rId26" Type="http://schemas.openxmlformats.org/officeDocument/2006/relationships/hyperlink" Target="https://bou.or.ug/uploads/Revised_BOU_National_Payment_Systems_Oversight_Framework_2025_698b3e9745.pdf" TargetMode="External"/><Relationship Id="rId27" Type="http://schemas.openxmlformats.org/officeDocument/2006/relationships/hyperlink" Target="https://equitygroupholdings.com/ug/open-an-account/business-current-account" TargetMode="External"/><Relationship Id="rId28" Type="http://schemas.openxmlformats.org/officeDocument/2006/relationships/hyperlink" Target="https://www.flutterwave.com/us/support/onboarding/onboarding-requirements-for-using-flutterwave-in-uganda" TargetMode="External"/><Relationship Id="rId29" Type="http://schemas.openxmlformats.org/officeDocument/2006/relationships/hyperlink" Target="https://oldsite.nita.go.ug/electronic-transactions-act-2011" TargetMode="External"/><Relationship Id="rId30" Type="http://schemas.openxmlformats.org/officeDocument/2006/relationships/hyperlink" Target="https://pdpo.go.ug/" TargetMode="External"/><Relationship Id="rId31" Type="http://schemas.openxmlformats.org/officeDocument/2006/relationships/hyperlink" Target="https://ict.go.ug/site/documents/Data-Protection-and-Privacy-Act-2019.pdf" TargetMode="External"/><Relationship Id="rId32" Type="http://schemas.openxmlformats.org/officeDocument/2006/relationships/hyperlink" Target="https://lgrb.go.ug/download/lotteries-and-gaming-act-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sources and filing map</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