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Goal Hint company registration guide</w:t>
      </w:r>
    </w:p>
    <w:p>
      <w:pPr>
        <w:pStyle w:val="Subtitle"/>
      </w:pPr>
      <w:r>
        <w:t>Uganda Single Member Company preparation package | Checked 26 October 2026</w:t>
      </w:r>
    </w:p>
    <w:p>
      <w:pPr>
        <w:pStyle w:val="Heading1"/>
      </w:pPr>
      <w:r>
        <w:t>The recommended registration route</w:t>
      </w:r>
    </w:p>
    <w:p>
      <w:r>
        <w:t>Prepare Goal Hint as a Ugandan private company limited by shares with one member, as requested in the WhatsApp conversation of 21 October 2026. Proposed legal name: GOAL HINT SMC LTD, subject to URSB name approval. Use the approved name consistently in every final document. Goal Hint can remain the product brand.</w:t>
      </w:r>
    </w:p>
    <w:p>
      <w:r>
        <w:t>Goal Hint develops and operates web and mobile software that publishes football fixtures, scores, statistical forecasts, probabilities, analysis and recorded prediction outcomes. It offers optional subscriptions for premium information and tools for organizing and tracking selections. Subscription payments buy access to information. Goal Hint does not accept betting stakes or place bets for customers.</w:t>
      </w:r>
    </w:p>
    <w:p>
      <w:r>
        <w:t>These editable documents provide the wording and information needed for incorporation and merchant onboarding. Complete bracketed fields before use. They do not replace a government certificate, a tax registration, a provider contract or any certification that a receiving institution requires.</w:t>
      </w:r>
    </w:p>
    <w:p>
      <w:pPr>
        <w:pStyle w:val="Heading2"/>
      </w:pPr>
      <w:r>
        <w:t>Complete these steps in order</w:t>
      </w:r>
    </w:p>
    <w:p>
      <w:pPr>
        <w:pStyle w:val="ListBullet"/>
      </w:pPr>
      <w:r>
        <w:t>Fill the registration information sheet. Confirm the member, share capital, physical office and two distinct succession nominees. A secretary is optional for the SMC.</w:t>
      </w:r>
    </w:p>
    <w:p>
      <w:pPr>
        <w:pStyle w:val="ListBullet"/>
      </w:pPr>
      <w:r>
        <w:t>Reserve the legal name through URSB. Suggested alternatives are GOAL HINT TECHNOLOGIES SMC LTD and GOAL HINT DIGITAL SERVICES SMC LTD; availability has not been checked.</w:t>
      </w:r>
    </w:p>
    <w:p>
      <w:pPr>
        <w:pStyle w:val="ListBullet"/>
      </w:pPr>
      <w:r>
        <w:t>Have the member and witness execute the memorandum and adoption of the standard SMC articles. Complete the current official nominee form with both nominees' consents.</w:t>
      </w:r>
    </w:p>
    <w:p>
      <w:pPr>
        <w:pStyle w:val="ListBullet"/>
      </w:pPr>
      <w:r>
        <w:t>Submit the current URSB or OBRS incorporation forms and supporting records. Pay against official payment references and retain receipts.</w:t>
      </w:r>
    </w:p>
    <w:p>
      <w:pPr>
        <w:pStyle w:val="ListBullet"/>
      </w:pPr>
      <w:r>
        <w:t>After incorporation, record ownership, complete beneficial ownership filing, obtain the company TIN, and address local trading permission for the actual premises.</w:t>
      </w:r>
    </w:p>
    <w:p>
      <w:pPr>
        <w:pStyle w:val="ListBullet"/>
      </w:pPr>
      <w:r>
        <w:t>Sign the company resolutions after incorporation. Open the company bank account, then apply for merchant collections and production API access.</w:t>
      </w:r>
    </w:p>
    <w:p>
      <w:pPr>
        <w:pStyle w:val="ListBullet"/>
      </w:pPr>
      <w:r>
        <w:t>Approve and publish the customer policies only after completing their fields and confirming that the service actually follows them.</w:t>
      </w:r>
    </w:p>
    <w:p>
      <w:pPr>
        <w:pStyle w:val="Heading2"/>
      </w:pPr>
      <w:r>
        <w:t>Use the correct people</w:t>
      </w:r>
    </w:p>
    <w:p>
      <w:r>
        <w:t>The single member owns the shares and must be a director. A nominee director and an alternate nominee director are separate individuals, neither being the member nor the secretary. Their appointment supports continuity following death; it does not give either person ownership. A secretary does not automatically inherit the company. The sole director cannot also be its secretary.</w:t>
      </w:r>
    </w:p>
    <w:p>
      <w:r>
        <w:br w:type="page"/>
      </w:r>
    </w:p>
    <w:p>
      <w:pPr>
        <w:pStyle w:val="Heading1"/>
      </w:pPr>
      <w:r>
        <w:t>Your files and missing information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480"/>
      </w:tblGrid>
      <w:tr>
        <w:trPr>
          <w:tblHeader/>
          <w:cantSplit/>
        </w:trPr>
        <w:tc>
          <w:tcPr>
            <w:tcW w:type="dxa" w:w="3312"/>
            <w:shd w:fill="E7E6E6"/>
            <w:vAlign w:val="center"/>
            <w:tcMar>
              <w:top w:w="85" w:type="dxa"/>
              <w:bottom w:w="85" w:type="dxa"/>
              <w:left w:w="100" w:type="dxa"/>
              <w:right w:w="100" w:type="dxa"/>
            </w:tcMar>
          </w:tcPr>
          <w:p>
            <w:pPr>
              <w:spacing w:after="0" w:line="240" w:lineRule="auto"/>
            </w:pPr>
            <w:r>
              <w:rPr>
                <w:b/>
                <w:color w:val="000000"/>
                <w:sz w:val="20"/>
              </w:rPr>
              <w:t>File</w:t>
            </w:r>
          </w:p>
        </w:tc>
        <w:tc>
          <w:tcPr>
            <w:tcW w:type="dxa" w:w="6480"/>
            <w:shd w:fill="E7E6E6"/>
            <w:vAlign w:val="center"/>
            <w:tcMar>
              <w:top w:w="85" w:type="dxa"/>
              <w:bottom w:w="85" w:type="dxa"/>
              <w:left w:w="100" w:type="dxa"/>
              <w:right w:w="100" w:type="dxa"/>
            </w:tcMar>
          </w:tcPr>
          <w:p>
            <w:pPr>
              <w:spacing w:after="0" w:line="240" w:lineRule="auto"/>
            </w:pPr>
            <w:r>
              <w:rPr>
                <w:b/>
                <w:color w:val="000000"/>
                <w:sz w:val="20"/>
              </w:rPr>
              <w:t>Use</w:t>
            </w:r>
          </w:p>
        </w:tc>
      </w:tr>
      <w:tr>
        <w:trPr>
          <w:cantSplit/>
        </w:trPr>
        <w:tc>
          <w:tcPr>
            <w:tcW w:type="dxa" w:w="3312"/>
            <w:vAlign w:val="center"/>
            <w:tcMar>
              <w:top w:w="85" w:type="dxa"/>
              <w:bottom w:w="85" w:type="dxa"/>
              <w:left w:w="100" w:type="dxa"/>
              <w:right w:w="100" w:type="dxa"/>
            </w:tcMar>
          </w:tcPr>
          <w:p>
            <w:pPr>
              <w:spacing w:after="0" w:line="240" w:lineRule="auto"/>
            </w:pPr>
            <w:r>
              <w:rPr>
                <w:color w:val="000000"/>
                <w:sz w:val="20"/>
              </w:rPr>
              <w:t>01 Registration information</w:t>
            </w:r>
          </w:p>
        </w:tc>
        <w:tc>
          <w:tcPr>
            <w:tcW w:type="dxa" w:w="6480"/>
            <w:vAlign w:val="center"/>
            <w:tcMar>
              <w:top w:w="85" w:type="dxa"/>
              <w:bottom w:w="85" w:type="dxa"/>
              <w:left w:w="100" w:type="dxa"/>
              <w:right w:w="100" w:type="dxa"/>
            </w:tcMar>
          </w:tcPr>
          <w:p>
            <w:pPr>
              <w:spacing w:after="0" w:line="240" w:lineRule="auto"/>
            </w:pPr>
            <w:r>
              <w:rPr>
                <w:color w:val="000000"/>
                <w:sz w:val="20"/>
              </w:rPr>
              <w:t>Collect company, member, nominee and capital particulars</w:t>
            </w:r>
          </w:p>
        </w:tc>
      </w:tr>
      <w:tr>
        <w:trPr>
          <w:cantSplit/>
        </w:trPr>
        <w:tc>
          <w:tcPr>
            <w:tcW w:type="dxa" w:w="3312"/>
            <w:vAlign w:val="center"/>
            <w:tcMar>
              <w:top w:w="85" w:type="dxa"/>
              <w:bottom w:w="85" w:type="dxa"/>
              <w:left w:w="100" w:type="dxa"/>
              <w:right w:w="100" w:type="dxa"/>
            </w:tcMar>
          </w:tcPr>
          <w:p>
            <w:pPr>
              <w:spacing w:after="0" w:line="240" w:lineRule="auto"/>
            </w:pPr>
            <w:r>
              <w:rPr>
                <w:color w:val="000000"/>
                <w:sz w:val="20"/>
              </w:rPr>
              <w:t>02 Memorandum and articles</w:t>
            </w:r>
          </w:p>
        </w:tc>
        <w:tc>
          <w:tcPr>
            <w:tcW w:type="dxa" w:w="6480"/>
            <w:vAlign w:val="center"/>
            <w:tcMar>
              <w:top w:w="85" w:type="dxa"/>
              <w:bottom w:w="85" w:type="dxa"/>
              <w:left w:w="100" w:type="dxa"/>
              <w:right w:w="100" w:type="dxa"/>
            </w:tcMar>
          </w:tcPr>
          <w:p>
            <w:pPr>
              <w:spacing w:after="0" w:line="240" w:lineRule="auto"/>
            </w:pPr>
            <w:r>
              <w:rPr>
                <w:color w:val="000000"/>
                <w:sz w:val="20"/>
              </w:rPr>
              <w:t>Sign the constitution using the approved name</w:t>
            </w:r>
          </w:p>
        </w:tc>
      </w:tr>
      <w:tr>
        <w:trPr>
          <w:cantSplit/>
        </w:trPr>
        <w:tc>
          <w:tcPr>
            <w:tcW w:type="dxa" w:w="3312"/>
            <w:vAlign w:val="center"/>
            <w:tcMar>
              <w:top w:w="85" w:type="dxa"/>
              <w:bottom w:w="85" w:type="dxa"/>
              <w:left w:w="100" w:type="dxa"/>
              <w:right w:w="100" w:type="dxa"/>
            </w:tcMar>
          </w:tcPr>
          <w:p>
            <w:pPr>
              <w:spacing w:after="0" w:line="240" w:lineRule="auto"/>
            </w:pPr>
            <w:r>
              <w:rPr>
                <w:color w:val="000000"/>
                <w:sz w:val="20"/>
              </w:rPr>
              <w:t>03 Nomination and consent</w:t>
            </w:r>
          </w:p>
        </w:tc>
        <w:tc>
          <w:tcPr>
            <w:tcW w:type="dxa" w:w="6480"/>
            <w:vAlign w:val="center"/>
            <w:tcMar>
              <w:top w:w="85" w:type="dxa"/>
              <w:bottom w:w="85" w:type="dxa"/>
              <w:left w:w="100" w:type="dxa"/>
              <w:right w:w="100" w:type="dxa"/>
            </w:tcMar>
          </w:tcPr>
          <w:p>
            <w:pPr>
              <w:spacing w:after="0" w:line="240" w:lineRule="auto"/>
            </w:pPr>
            <w:r>
              <w:rPr>
                <w:color w:val="000000"/>
                <w:sz w:val="20"/>
              </w:rPr>
              <w:t>Prepare the official SMC nomination filing</w:t>
            </w:r>
          </w:p>
        </w:tc>
      </w:tr>
      <w:tr>
        <w:trPr>
          <w:cantSplit/>
        </w:trPr>
        <w:tc>
          <w:tcPr>
            <w:tcW w:type="dxa" w:w="3312"/>
            <w:vAlign w:val="center"/>
            <w:tcMar>
              <w:top w:w="85" w:type="dxa"/>
              <w:bottom w:w="85" w:type="dxa"/>
              <w:left w:w="100" w:type="dxa"/>
              <w:right w:w="100" w:type="dxa"/>
            </w:tcMar>
          </w:tcPr>
          <w:p>
            <w:pPr>
              <w:spacing w:after="0" w:line="240" w:lineRule="auto"/>
            </w:pPr>
            <w:r>
              <w:rPr>
                <w:color w:val="000000"/>
                <w:sz w:val="20"/>
              </w:rPr>
              <w:t>04 Ownership register</w:t>
            </w:r>
          </w:p>
        </w:tc>
        <w:tc>
          <w:tcPr>
            <w:tcW w:type="dxa" w:w="6480"/>
            <w:vAlign w:val="center"/>
            <w:tcMar>
              <w:top w:w="85" w:type="dxa"/>
              <w:bottom w:w="85" w:type="dxa"/>
              <w:left w:w="100" w:type="dxa"/>
              <w:right w:w="100" w:type="dxa"/>
            </w:tcMar>
          </w:tcPr>
          <w:p>
            <w:pPr>
              <w:spacing w:after="0" w:line="240" w:lineRule="auto"/>
            </w:pPr>
            <w:r>
              <w:rPr>
                <w:color w:val="000000"/>
                <w:sz w:val="20"/>
              </w:rPr>
              <w:t>Record member and beneficial ownership details</w:t>
            </w:r>
          </w:p>
        </w:tc>
      </w:tr>
      <w:tr>
        <w:trPr>
          <w:cantSplit/>
        </w:trPr>
        <w:tc>
          <w:tcPr>
            <w:tcW w:type="dxa" w:w="3312"/>
            <w:vAlign w:val="center"/>
            <w:tcMar>
              <w:top w:w="85" w:type="dxa"/>
              <w:bottom w:w="85" w:type="dxa"/>
              <w:left w:w="100" w:type="dxa"/>
              <w:right w:w="100" w:type="dxa"/>
            </w:tcMar>
          </w:tcPr>
          <w:p>
            <w:pPr>
              <w:spacing w:after="0" w:line="240" w:lineRule="auto"/>
            </w:pPr>
            <w:r>
              <w:rPr>
                <w:color w:val="000000"/>
                <w:sz w:val="20"/>
              </w:rPr>
              <w:t>05 Company profile</w:t>
            </w:r>
          </w:p>
        </w:tc>
        <w:tc>
          <w:tcPr>
            <w:tcW w:type="dxa" w:w="6480"/>
            <w:vAlign w:val="center"/>
            <w:tcMar>
              <w:top w:w="85" w:type="dxa"/>
              <w:bottom w:w="85" w:type="dxa"/>
              <w:left w:w="100" w:type="dxa"/>
              <w:right w:w="100" w:type="dxa"/>
            </w:tcMar>
          </w:tcPr>
          <w:p>
            <w:pPr>
              <w:spacing w:after="0" w:line="240" w:lineRule="auto"/>
            </w:pPr>
            <w:r>
              <w:rPr>
                <w:color w:val="000000"/>
                <w:sz w:val="20"/>
              </w:rPr>
              <w:t>Explain the actual service to registrars and providers</w:t>
            </w:r>
          </w:p>
        </w:tc>
      </w:tr>
      <w:tr>
        <w:trPr>
          <w:cantSplit/>
        </w:trPr>
        <w:tc>
          <w:tcPr>
            <w:tcW w:type="dxa" w:w="3312"/>
            <w:vAlign w:val="center"/>
            <w:tcMar>
              <w:top w:w="85" w:type="dxa"/>
              <w:bottom w:w="85" w:type="dxa"/>
              <w:left w:w="100" w:type="dxa"/>
              <w:right w:w="100" w:type="dxa"/>
            </w:tcMar>
          </w:tcPr>
          <w:p>
            <w:pPr>
              <w:spacing w:after="0" w:line="240" w:lineRule="auto"/>
            </w:pPr>
            <w:r>
              <w:rPr>
                <w:color w:val="000000"/>
                <w:sz w:val="20"/>
              </w:rPr>
              <w:t>06 Company resolutions</w:t>
            </w:r>
          </w:p>
        </w:tc>
        <w:tc>
          <w:tcPr>
            <w:tcW w:type="dxa" w:w="6480"/>
            <w:vAlign w:val="center"/>
            <w:tcMar>
              <w:top w:w="85" w:type="dxa"/>
              <w:bottom w:w="85" w:type="dxa"/>
              <w:left w:w="100" w:type="dxa"/>
              <w:right w:w="100" w:type="dxa"/>
            </w:tcMar>
          </w:tcPr>
          <w:p>
            <w:pPr>
              <w:spacing w:after="0" w:line="240" w:lineRule="auto"/>
            </w:pPr>
            <w:r>
              <w:rPr>
                <w:color w:val="000000"/>
                <w:sz w:val="20"/>
              </w:rPr>
              <w:t>Authorize banking, collections and named representatives</w:t>
            </w:r>
          </w:p>
        </w:tc>
      </w:tr>
      <w:tr>
        <w:trPr>
          <w:cantSplit/>
        </w:trPr>
        <w:tc>
          <w:tcPr>
            <w:tcW w:type="dxa" w:w="3312"/>
            <w:vAlign w:val="center"/>
            <w:tcMar>
              <w:top w:w="85" w:type="dxa"/>
              <w:bottom w:w="85" w:type="dxa"/>
              <w:left w:w="100" w:type="dxa"/>
              <w:right w:w="100" w:type="dxa"/>
            </w:tcMar>
          </w:tcPr>
          <w:p>
            <w:pPr>
              <w:spacing w:after="0" w:line="240" w:lineRule="auto"/>
            </w:pPr>
            <w:r>
              <w:rPr>
                <w:color w:val="000000"/>
                <w:sz w:val="20"/>
              </w:rPr>
              <w:t>07 Application letters</w:t>
            </w:r>
          </w:p>
        </w:tc>
        <w:tc>
          <w:tcPr>
            <w:tcW w:type="dxa" w:w="6480"/>
            <w:vAlign w:val="center"/>
            <w:tcMar>
              <w:top w:w="85" w:type="dxa"/>
              <w:bottom w:w="85" w:type="dxa"/>
              <w:left w:w="100" w:type="dxa"/>
              <w:right w:w="100" w:type="dxa"/>
            </w:tcMar>
          </w:tcPr>
          <w:p>
            <w:pPr>
              <w:spacing w:after="0" w:line="240" w:lineRule="auto"/>
            </w:pPr>
            <w:r>
              <w:rPr>
                <w:color w:val="000000"/>
                <w:sz w:val="20"/>
              </w:rPr>
              <w:t>Separate bank, MTN and Airtel requests</w:t>
            </w:r>
          </w:p>
        </w:tc>
      </w:tr>
      <w:tr>
        <w:trPr>
          <w:cantSplit/>
        </w:trPr>
        <w:tc>
          <w:tcPr>
            <w:tcW w:type="dxa" w:w="3312"/>
            <w:vAlign w:val="center"/>
            <w:tcMar>
              <w:top w:w="85" w:type="dxa"/>
              <w:bottom w:w="85" w:type="dxa"/>
              <w:left w:w="100" w:type="dxa"/>
              <w:right w:w="100" w:type="dxa"/>
            </w:tcMar>
          </w:tcPr>
          <w:p>
            <w:pPr>
              <w:spacing w:after="0" w:line="240" w:lineRule="auto"/>
            </w:pPr>
            <w:r>
              <w:rPr>
                <w:color w:val="000000"/>
                <w:sz w:val="20"/>
              </w:rPr>
              <w:t>08 Payment operations</w:t>
            </w:r>
          </w:p>
        </w:tc>
        <w:tc>
          <w:tcPr>
            <w:tcW w:type="dxa" w:w="6480"/>
            <w:vAlign w:val="center"/>
            <w:tcMar>
              <w:top w:w="85" w:type="dxa"/>
              <w:bottom w:w="85" w:type="dxa"/>
              <w:left w:w="100" w:type="dxa"/>
              <w:right w:w="100" w:type="dxa"/>
            </w:tcMar>
          </w:tcPr>
          <w:p>
            <w:pPr>
              <w:spacing w:after="0" w:line="240" w:lineRule="auto"/>
            </w:pPr>
            <w:r>
              <w:rPr>
                <w:color w:val="000000"/>
                <w:sz w:val="20"/>
              </w:rPr>
              <w:t>Describe money flow and provider disclosures</w:t>
            </w:r>
          </w:p>
        </w:tc>
      </w:tr>
      <w:tr>
        <w:trPr>
          <w:cantSplit/>
        </w:trPr>
        <w:tc>
          <w:tcPr>
            <w:tcW w:type="dxa" w:w="3312"/>
            <w:vAlign w:val="center"/>
            <w:tcMar>
              <w:top w:w="85" w:type="dxa"/>
              <w:bottom w:w="85" w:type="dxa"/>
              <w:left w:w="100" w:type="dxa"/>
              <w:right w:w="100" w:type="dxa"/>
            </w:tcMar>
          </w:tcPr>
          <w:p>
            <w:pPr>
              <w:spacing w:after="0" w:line="240" w:lineRule="auto"/>
            </w:pPr>
            <w:r>
              <w:rPr>
                <w:color w:val="000000"/>
                <w:sz w:val="20"/>
              </w:rPr>
              <w:t>09 Service terms</w:t>
            </w:r>
          </w:p>
        </w:tc>
        <w:tc>
          <w:tcPr>
            <w:tcW w:type="dxa" w:w="6480"/>
            <w:vAlign w:val="center"/>
            <w:tcMar>
              <w:top w:w="85" w:type="dxa"/>
              <w:bottom w:w="85" w:type="dxa"/>
              <w:left w:w="100" w:type="dxa"/>
              <w:right w:w="100" w:type="dxa"/>
            </w:tcMar>
          </w:tcPr>
          <w:p>
            <w:pPr>
              <w:spacing w:after="0" w:line="240" w:lineRule="auto"/>
            </w:pPr>
            <w:r>
              <w:rPr>
                <w:color w:val="000000"/>
                <w:sz w:val="20"/>
              </w:rPr>
              <w:t>Approve subscription and refund rules</w:t>
            </w:r>
          </w:p>
        </w:tc>
      </w:tr>
      <w:tr>
        <w:trPr>
          <w:cantSplit/>
        </w:trPr>
        <w:tc>
          <w:tcPr>
            <w:tcW w:type="dxa" w:w="3312"/>
            <w:vAlign w:val="center"/>
            <w:tcMar>
              <w:top w:w="85" w:type="dxa"/>
              <w:bottom w:w="85" w:type="dxa"/>
              <w:left w:w="100" w:type="dxa"/>
              <w:right w:w="100" w:type="dxa"/>
            </w:tcMar>
          </w:tcPr>
          <w:p>
            <w:pPr>
              <w:spacing w:after="0" w:line="240" w:lineRule="auto"/>
            </w:pPr>
            <w:r>
              <w:rPr>
                <w:color w:val="000000"/>
                <w:sz w:val="20"/>
              </w:rPr>
              <w:t>10 Privacy notice</w:t>
            </w:r>
          </w:p>
        </w:tc>
        <w:tc>
          <w:tcPr>
            <w:tcW w:type="dxa" w:w="6480"/>
            <w:vAlign w:val="center"/>
            <w:tcMar>
              <w:top w:w="85" w:type="dxa"/>
              <w:bottom w:w="85" w:type="dxa"/>
              <w:left w:w="100" w:type="dxa"/>
              <w:right w:w="100" w:type="dxa"/>
            </w:tcMar>
          </w:tcPr>
          <w:p>
            <w:pPr>
              <w:spacing w:after="0" w:line="240" w:lineRule="auto"/>
            </w:pPr>
            <w:r>
              <w:rPr>
                <w:color w:val="000000"/>
                <w:sz w:val="20"/>
              </w:rPr>
              <w:t>Complete and approve the data protection disclosures</w:t>
            </w:r>
          </w:p>
        </w:tc>
      </w:tr>
      <w:tr>
        <w:trPr>
          <w:cantSplit/>
        </w:trPr>
        <w:tc>
          <w:tcPr>
            <w:tcW w:type="dxa" w:w="3312"/>
            <w:vAlign w:val="center"/>
            <w:tcMar>
              <w:top w:w="85" w:type="dxa"/>
              <w:bottom w:w="85" w:type="dxa"/>
              <w:left w:w="100" w:type="dxa"/>
              <w:right w:w="100" w:type="dxa"/>
            </w:tcMar>
          </w:tcPr>
          <w:p>
            <w:pPr>
              <w:spacing w:after="0" w:line="240" w:lineRule="auto"/>
            </w:pPr>
            <w:r>
              <w:rPr>
                <w:color w:val="000000"/>
                <w:sz w:val="20"/>
              </w:rPr>
              <w:t>11 Official sources</w:t>
            </w:r>
          </w:p>
        </w:tc>
        <w:tc>
          <w:tcPr>
            <w:tcW w:type="dxa" w:w="6480"/>
            <w:vAlign w:val="center"/>
            <w:tcMar>
              <w:top w:w="85" w:type="dxa"/>
              <w:bottom w:w="85" w:type="dxa"/>
              <w:left w:w="100" w:type="dxa"/>
              <w:right w:w="100" w:type="dxa"/>
            </w:tcMar>
          </w:tcPr>
          <w:p>
            <w:pPr>
              <w:spacing w:after="0" w:line="240" w:lineRule="auto"/>
            </w:pPr>
            <w:r>
              <w:rPr>
                <w:color w:val="000000"/>
                <w:sz w:val="20"/>
              </w:rPr>
              <w:t>Find current forms, supporting evidence and filing requirements</w:t>
            </w:r>
          </w:p>
        </w:tc>
      </w:tr>
    </w:tbl>
    <w:p>
      <w:pPr>
        <w:spacing w:after="0"/>
      </w:pPr>
    </w:p>
    <w:p>
      <w:pPr>
        <w:pStyle w:val="Heading2"/>
      </w:pPr>
      <w:r>
        <w:t>Information you must supply</w:t>
      </w:r>
    </w:p>
    <w:p>
      <w:pPr>
        <w:pStyle w:val="ListBullet"/>
      </w:pPr>
      <w:r>
        <w:t>Approved company name; exact identity-document name of the member; identification, nationality, date of birth, occupation, addresses, telephone and email.</w:t>
      </w:r>
    </w:p>
    <w:p>
      <w:pPr>
        <w:pStyle w:val="ListBullet"/>
      </w:pPr>
      <w:r>
        <w:t>Nominee and alternate nominee details and signatures; secretary details only if appointing one; witness name, occupation, address and signature.</w:t>
      </w:r>
    </w:p>
    <w:p>
      <w:pPr>
        <w:pStyle w:val="ListBullet"/>
      </w:pPr>
      <w:r>
        <w:t>Registered physical office and postal address; official company phone and email; chosen capital, share count, nominal value and subscribed shares.</w:t>
      </w:r>
    </w:p>
    <w:p>
      <w:pPr>
        <w:pStyle w:val="ListBullet"/>
      </w:pPr>
      <w:r>
        <w:t>True beneficial owners and any other person with ultimate control; source of starting funds; selected bank and account signatories.</w:t>
      </w:r>
    </w:p>
    <w:p>
      <w:pPr>
        <w:pStyle w:val="ListBullet"/>
      </w:pPr>
      <w:r>
        <w:t>After registration: incorporation number and date, TIN, official office and director records, and any certified copies requested by the bank or provider.</w:t>
      </w:r>
    </w:p>
    <w:p>
      <w:pPr>
        <w:pStyle w:val="ListBullet"/>
      </w:pPr>
      <w:r>
        <w:t>For launch: actual payment volumes, settlement account, support contacts, hosting and data locations, retention periods and approval of customer policies.</w:t>
      </w:r>
    </w:p>
    <w:p>
      <w:r>
        <w:t>Keep scans of IDs, completed personal-information sheets and provider credentials in company/private or another secure location. The supplied WhatsApp archive remains unchanged. The repository tracks the blank Word templates, preparation text and builder. Completed private records and QA output stay local.</w:t>
      </w:r>
    </w:p>
    <w:p>
      <w:r>
        <w:t>Before publishing the customer policies, align account-erasure and unused-credit handling with the refund policy. The current application forfeits remaining credit on erasure; the proposed policy preserves applicable refund rights.</w:t>
      </w:r>
    </w:p>
    <w:p>
      <w:r>
        <w:br w:type="page"/>
      </w:r>
    </w:p>
    <w:p>
      <w:pPr>
        <w:pStyle w:val="Heading1"/>
      </w:pPr>
      <w:r>
        <w:t>Costs and the handover to your registration agent</w:t>
      </w:r>
    </w:p>
    <w:p>
      <w:r>
        <w:t>The conversation quotes UGX 650,000 through receipt of the incorporation certificate and estimates three days. Treat these as the agent's proposed price and estimate, not an official tariff or guaranteed completion time.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1584"/>
        <w:gridCol w:w="4824"/>
      </w:tblGrid>
      <w:tr>
        <w:trPr>
          <w:tblHeader/>
          <w:cantSplit/>
        </w:trPr>
        <w:tc>
          <w:tcPr>
            <w:tcW w:type="dxa" w:w="3384"/>
            <w:shd w:fill="E7E6E6"/>
            <w:vAlign w:val="center"/>
            <w:tcMar>
              <w:top w:w="85" w:type="dxa"/>
              <w:bottom w:w="85" w:type="dxa"/>
              <w:left w:w="100" w:type="dxa"/>
              <w:right w:w="100" w:type="dxa"/>
            </w:tcMar>
          </w:tcPr>
          <w:p>
            <w:pPr>
              <w:spacing w:after="0" w:line="240" w:lineRule="auto"/>
            </w:pPr>
            <w:r>
              <w:rPr>
                <w:b/>
                <w:color w:val="000000"/>
                <w:sz w:val="20"/>
              </w:rPr>
              <w:t>Published item</w:t>
            </w:r>
          </w:p>
        </w:tc>
        <w:tc>
          <w:tcPr>
            <w:tcW w:type="dxa" w:w="1584"/>
            <w:shd w:fill="E7E6E6"/>
            <w:vAlign w:val="center"/>
            <w:tcMar>
              <w:top w:w="85" w:type="dxa"/>
              <w:bottom w:w="85" w:type="dxa"/>
              <w:left w:w="100" w:type="dxa"/>
              <w:right w:w="100" w:type="dxa"/>
            </w:tcMar>
          </w:tcPr>
          <w:p>
            <w:pPr>
              <w:spacing w:after="0" w:line="240" w:lineRule="auto"/>
            </w:pPr>
            <w:r>
              <w:rPr>
                <w:b/>
                <w:color w:val="000000"/>
                <w:sz w:val="20"/>
              </w:rPr>
              <w:t>Amount</w:t>
            </w:r>
          </w:p>
        </w:tc>
        <w:tc>
          <w:tcPr>
            <w:tcW w:type="dxa" w:w="4824"/>
            <w:shd w:fill="E7E6E6"/>
            <w:vAlign w:val="center"/>
            <w:tcMar>
              <w:top w:w="85" w:type="dxa"/>
              <w:bottom w:w="85" w:type="dxa"/>
              <w:left w:w="100" w:type="dxa"/>
              <w:right w:w="100" w:type="dxa"/>
            </w:tcMar>
          </w:tcPr>
          <w:p>
            <w:pPr>
              <w:spacing w:after="0" w:line="240" w:lineRule="auto"/>
            </w:pPr>
            <w:r>
              <w:rPr>
                <w:b/>
                <w:color w:val="000000"/>
                <w:sz w:val="20"/>
              </w:rPr>
              <w:t>Scope</w:t>
            </w:r>
          </w:p>
        </w:tc>
      </w:tr>
      <w:tr>
        <w:trPr>
          <w:cantSplit/>
        </w:trPr>
        <w:tc>
          <w:tcPr>
            <w:tcW w:type="dxa" w:w="3384"/>
            <w:vAlign w:val="center"/>
            <w:tcMar>
              <w:top w:w="85" w:type="dxa"/>
              <w:bottom w:w="85" w:type="dxa"/>
              <w:left w:w="100" w:type="dxa"/>
              <w:right w:w="100" w:type="dxa"/>
            </w:tcMar>
          </w:tcPr>
          <w:p>
            <w:pPr>
              <w:spacing w:after="0" w:line="240" w:lineRule="auto"/>
            </w:pPr>
            <w:r>
              <w:rPr>
                <w:color w:val="000000"/>
                <w:sz w:val="20"/>
              </w:rPr>
              <w:t>URSB name reservation</w:t>
            </w:r>
          </w:p>
        </w:tc>
        <w:tc>
          <w:tcPr>
            <w:tcW w:type="dxa" w:w="1584"/>
            <w:vAlign w:val="center"/>
            <w:tcMar>
              <w:top w:w="85" w:type="dxa"/>
              <w:bottom w:w="85" w:type="dxa"/>
              <w:left w:w="100" w:type="dxa"/>
              <w:right w:w="100" w:type="dxa"/>
            </w:tcMar>
          </w:tcPr>
          <w:p>
            <w:pPr>
              <w:spacing w:after="0" w:line="240" w:lineRule="auto"/>
            </w:pPr>
            <w:r>
              <w:rPr>
                <w:color w:val="000000"/>
                <w:sz w:val="20"/>
              </w:rPr>
              <w:t>UGX 35,000</w:t>
            </w:r>
          </w:p>
        </w:tc>
        <w:tc>
          <w:tcPr>
            <w:tcW w:type="dxa" w:w="4824"/>
            <w:vAlign w:val="center"/>
            <w:tcMar>
              <w:top w:w="85" w:type="dxa"/>
              <w:bottom w:w="85" w:type="dxa"/>
              <w:left w:w="100" w:type="dxa"/>
              <w:right w:w="100" w:type="dxa"/>
            </w:tcMar>
          </w:tcPr>
          <w:p>
            <w:pPr>
              <w:spacing w:after="0" w:line="240" w:lineRule="auto"/>
            </w:pPr>
            <w:r>
              <w:rPr>
                <w:color w:val="000000"/>
                <w:sz w:val="20"/>
              </w:rPr>
              <w:t>Confirm current assessment before paying</w:t>
            </w:r>
          </w:p>
        </w:tc>
      </w:tr>
      <w:tr>
        <w:trPr>
          <w:cantSplit/>
        </w:trPr>
        <w:tc>
          <w:tcPr>
            <w:tcW w:type="dxa" w:w="3384"/>
            <w:vAlign w:val="center"/>
            <w:tcMar>
              <w:top w:w="85" w:type="dxa"/>
              <w:bottom w:w="85" w:type="dxa"/>
              <w:left w:w="100" w:type="dxa"/>
              <w:right w:w="100" w:type="dxa"/>
            </w:tcMar>
          </w:tcPr>
          <w:p>
            <w:pPr>
              <w:spacing w:after="0" w:line="240" w:lineRule="auto"/>
            </w:pPr>
            <w:r>
              <w:rPr>
                <w:color w:val="000000"/>
                <w:sz w:val="20"/>
              </w:rPr>
              <w:t>URSB incorporation</w:t>
            </w:r>
          </w:p>
        </w:tc>
        <w:tc>
          <w:tcPr>
            <w:tcW w:type="dxa" w:w="1584"/>
            <w:vAlign w:val="center"/>
            <w:tcMar>
              <w:top w:w="85" w:type="dxa"/>
              <w:bottom w:w="85" w:type="dxa"/>
              <w:left w:w="100" w:type="dxa"/>
              <w:right w:w="100" w:type="dxa"/>
            </w:tcMar>
          </w:tcPr>
          <w:p>
            <w:pPr>
              <w:spacing w:after="0" w:line="240" w:lineRule="auto"/>
            </w:pPr>
            <w:r>
              <w:rPr>
                <w:color w:val="000000"/>
                <w:sz w:val="20"/>
              </w:rPr>
              <w:t>UGX 105,000</w:t>
            </w:r>
          </w:p>
        </w:tc>
        <w:tc>
          <w:tcPr>
            <w:tcW w:type="dxa" w:w="4824"/>
            <w:vAlign w:val="center"/>
            <w:tcMar>
              <w:top w:w="85" w:type="dxa"/>
              <w:bottom w:w="85" w:type="dxa"/>
              <w:left w:w="100" w:type="dxa"/>
              <w:right w:w="100" w:type="dxa"/>
            </w:tcMar>
          </w:tcPr>
          <w:p>
            <w:pPr>
              <w:spacing w:after="0" w:line="240" w:lineRule="auto"/>
            </w:pPr>
            <w:r>
              <w:rPr>
                <w:color w:val="000000"/>
                <w:sz w:val="20"/>
              </w:rPr>
              <w:t>Nominal capital not exceeding UGX 5,000,000</w:t>
            </w:r>
          </w:p>
        </w:tc>
      </w:tr>
      <w:tr>
        <w:trPr>
          <w:cantSplit/>
        </w:trPr>
        <w:tc>
          <w:tcPr>
            <w:tcW w:type="dxa" w:w="3384"/>
            <w:vAlign w:val="center"/>
            <w:tcMar>
              <w:top w:w="85" w:type="dxa"/>
              <w:bottom w:w="85" w:type="dxa"/>
              <w:left w:w="100" w:type="dxa"/>
              <w:right w:w="100" w:type="dxa"/>
            </w:tcMar>
          </w:tcPr>
          <w:p>
            <w:pPr>
              <w:spacing w:after="0" w:line="240" w:lineRule="auto"/>
            </w:pPr>
            <w:r>
              <w:rPr>
                <w:color w:val="000000"/>
                <w:sz w:val="20"/>
              </w:rPr>
              <w:t>Known two item subtotal</w:t>
            </w:r>
          </w:p>
        </w:tc>
        <w:tc>
          <w:tcPr>
            <w:tcW w:type="dxa" w:w="1584"/>
            <w:vAlign w:val="center"/>
            <w:tcMar>
              <w:top w:w="85" w:type="dxa"/>
              <w:bottom w:w="85" w:type="dxa"/>
              <w:left w:w="100" w:type="dxa"/>
              <w:right w:w="100" w:type="dxa"/>
            </w:tcMar>
          </w:tcPr>
          <w:p>
            <w:pPr>
              <w:spacing w:after="0" w:line="240" w:lineRule="auto"/>
            </w:pPr>
            <w:r>
              <w:rPr>
                <w:color w:val="000000"/>
                <w:sz w:val="20"/>
              </w:rPr>
              <w:t>UGX 140,000</w:t>
            </w:r>
          </w:p>
        </w:tc>
        <w:tc>
          <w:tcPr>
            <w:tcW w:type="dxa" w:w="4824"/>
            <w:vAlign w:val="center"/>
            <w:tcMar>
              <w:top w:w="85" w:type="dxa"/>
              <w:bottom w:w="85" w:type="dxa"/>
              <w:left w:w="100" w:type="dxa"/>
              <w:right w:w="100" w:type="dxa"/>
            </w:tcMar>
          </w:tcPr>
          <w:p>
            <w:pPr>
              <w:spacing w:after="0" w:line="240" w:lineRule="auto"/>
            </w:pPr>
            <w:r>
              <w:rPr>
                <w:color w:val="000000"/>
                <w:sz w:val="20"/>
              </w:rPr>
              <w:t>Not the total cost of registration or onboarding</w:t>
            </w:r>
          </w:p>
        </w:tc>
      </w:tr>
      <w:tr>
        <w:trPr>
          <w:cantSplit/>
        </w:trPr>
        <w:tc>
          <w:tcPr>
            <w:tcW w:type="dxa" w:w="3384"/>
            <w:vAlign w:val="center"/>
            <w:tcMar>
              <w:top w:w="85" w:type="dxa"/>
              <w:bottom w:w="85" w:type="dxa"/>
              <w:left w:w="100" w:type="dxa"/>
              <w:right w:w="100" w:type="dxa"/>
            </w:tcMar>
          </w:tcPr>
          <w:p>
            <w:pPr>
              <w:spacing w:after="0" w:line="240" w:lineRule="auto"/>
            </w:pPr>
            <w:r>
              <w:rPr>
                <w:color w:val="000000"/>
                <w:sz w:val="20"/>
              </w:rPr>
              <w:t>URA company TIN issuance</w:t>
            </w:r>
          </w:p>
        </w:tc>
        <w:tc>
          <w:tcPr>
            <w:tcW w:type="dxa" w:w="1584"/>
            <w:vAlign w:val="center"/>
            <w:tcMar>
              <w:top w:w="85" w:type="dxa"/>
              <w:bottom w:w="85" w:type="dxa"/>
              <w:left w:w="100" w:type="dxa"/>
              <w:right w:w="100" w:type="dxa"/>
            </w:tcMar>
          </w:tcPr>
          <w:p>
            <w:pPr>
              <w:spacing w:after="0" w:line="240" w:lineRule="auto"/>
            </w:pPr>
            <w:r>
              <w:rPr>
                <w:color w:val="000000"/>
                <w:sz w:val="20"/>
              </w:rPr>
              <w:t>Free</w:t>
            </w:r>
          </w:p>
        </w:tc>
        <w:tc>
          <w:tcPr>
            <w:tcW w:type="dxa" w:w="4824"/>
            <w:vAlign w:val="center"/>
            <w:tcMar>
              <w:top w:w="85" w:type="dxa"/>
              <w:bottom w:w="85" w:type="dxa"/>
              <w:left w:w="100" w:type="dxa"/>
              <w:right w:w="100" w:type="dxa"/>
            </w:tcMar>
          </w:tcPr>
          <w:p>
            <w:pPr>
              <w:spacing w:after="0" w:line="240" w:lineRule="auto"/>
            </w:pPr>
            <w:r>
              <w:rPr>
                <w:color w:val="000000"/>
                <w:sz w:val="20"/>
              </w:rPr>
              <w:t>Agent assistance can be charged separately</w:t>
            </w:r>
          </w:p>
        </w:tc>
      </w:tr>
      <w:tr>
        <w:trPr>
          <w:cantSplit/>
        </w:trPr>
        <w:tc>
          <w:tcPr>
            <w:tcW w:type="dxa" w:w="3384"/>
            <w:vAlign w:val="center"/>
            <w:tcMar>
              <w:top w:w="85" w:type="dxa"/>
              <w:bottom w:w="85" w:type="dxa"/>
              <w:left w:w="100" w:type="dxa"/>
              <w:right w:w="100" w:type="dxa"/>
            </w:tcMar>
          </w:tcPr>
          <w:p>
            <w:pPr>
              <w:spacing w:after="0" w:line="240" w:lineRule="auto"/>
            </w:pPr>
            <w:r>
              <w:rPr>
                <w:color w:val="000000"/>
                <w:sz w:val="20"/>
              </w:rPr>
              <w:t>PDPO registration application</w:t>
            </w:r>
          </w:p>
        </w:tc>
        <w:tc>
          <w:tcPr>
            <w:tcW w:type="dxa" w:w="1584"/>
            <w:vAlign w:val="center"/>
            <w:tcMar>
              <w:top w:w="85" w:type="dxa"/>
              <w:bottom w:w="85" w:type="dxa"/>
              <w:left w:w="100" w:type="dxa"/>
              <w:right w:w="100" w:type="dxa"/>
            </w:tcMar>
          </w:tcPr>
          <w:p>
            <w:pPr>
              <w:spacing w:after="0" w:line="240" w:lineRule="auto"/>
            </w:pPr>
            <w:r>
              <w:rPr>
                <w:color w:val="000000"/>
                <w:sz w:val="20"/>
              </w:rPr>
              <w:t>UGX 100,000</w:t>
            </w:r>
          </w:p>
        </w:tc>
        <w:tc>
          <w:tcPr>
            <w:tcW w:type="dxa" w:w="4824"/>
            <w:vAlign w:val="center"/>
            <w:tcMar>
              <w:top w:w="85" w:type="dxa"/>
              <w:bottom w:w="85" w:type="dxa"/>
              <w:left w:w="100" w:type="dxa"/>
              <w:right w:w="100" w:type="dxa"/>
            </w:tcMar>
          </w:tcPr>
          <w:p>
            <w:pPr>
              <w:spacing w:after="0" w:line="240" w:lineRule="auto"/>
            </w:pPr>
            <w:r>
              <w:rPr>
                <w:color w:val="000000"/>
                <w:sz w:val="20"/>
              </w:rPr>
              <w:t>Separate data protection process where applicable</w:t>
            </w:r>
          </w:p>
        </w:tc>
      </w:tr>
      <w:tr>
        <w:trPr>
          <w:cantSplit/>
        </w:trPr>
        <w:tc>
          <w:tcPr>
            <w:tcW w:type="dxa" w:w="3384"/>
            <w:vAlign w:val="center"/>
            <w:tcMar>
              <w:top w:w="85" w:type="dxa"/>
              <w:bottom w:w="85" w:type="dxa"/>
              <w:left w:w="100" w:type="dxa"/>
              <w:right w:w="100" w:type="dxa"/>
            </w:tcMar>
          </w:tcPr>
          <w:p>
            <w:pPr>
              <w:spacing w:after="0" w:line="240" w:lineRule="auto"/>
            </w:pPr>
            <w:r>
              <w:rPr>
                <w:color w:val="000000"/>
                <w:sz w:val="20"/>
              </w:rPr>
              <w:t>Other costs</w:t>
            </w:r>
          </w:p>
        </w:tc>
        <w:tc>
          <w:tcPr>
            <w:tcW w:type="dxa" w:w="1584"/>
            <w:vAlign w:val="center"/>
            <w:tcMar>
              <w:top w:w="85" w:type="dxa"/>
              <w:bottom w:w="85" w:type="dxa"/>
              <w:left w:w="100" w:type="dxa"/>
              <w:right w:w="100" w:type="dxa"/>
            </w:tcMar>
          </w:tcPr>
          <w:p>
            <w:pPr>
              <w:spacing w:after="0" w:line="240" w:lineRule="auto"/>
            </w:pPr>
            <w:r>
              <w:rPr>
                <w:color w:val="000000"/>
                <w:sz w:val="20"/>
              </w:rPr>
              <w:t>Confirm</w:t>
            </w:r>
          </w:p>
        </w:tc>
        <w:tc>
          <w:tcPr>
            <w:tcW w:type="dxa" w:w="4824"/>
            <w:vAlign w:val="center"/>
            <w:tcMar>
              <w:top w:w="85" w:type="dxa"/>
              <w:bottom w:w="85" w:type="dxa"/>
              <w:left w:w="100" w:type="dxa"/>
              <w:right w:w="100" w:type="dxa"/>
            </w:tcMar>
          </w:tcPr>
          <w:p>
            <w:pPr>
              <w:spacing w:after="0" w:line="240" w:lineRule="auto"/>
            </w:pPr>
            <w:r>
              <w:rPr>
                <w:color w:val="000000"/>
                <w:sz w:val="20"/>
              </w:rPr>
              <w:t>Stamp duty or other assessments, filings, certification, local licence and professional fees</w:t>
            </w:r>
          </w:p>
        </w:tc>
      </w:tr>
    </w:tbl>
    <w:p>
      <w:pPr>
        <w:spacing w:after="0"/>
      </w:pPr>
    </w:p>
    <w:p>
      <w:r>
        <w:t>For nominal capital above UGX 5,000,000, URSB publishes an incorporation rate of 1.5% of nominal capital. Agree capital suited to the planned business; authorised capital is different from the shares actually issued and paid. For illustration only, UGX 1,000,000 can be divided into 100 ordinary shares of UGX 10,000; no such capital has been approved in this package.</w:t>
      </w:r>
    </w:p>
    <w:p>
      <w:pPr>
        <w:pStyle w:val="Heading2"/>
      </w:pPr>
      <w:r>
        <w:t>Send this request with the completed registration papers</w:t>
      </w:r>
    </w:p>
    <w:p>
      <w:r>
        <w:t>Please register the approved name as a Single Member Company limited by shares, using the supplied truthful objects and standard SMC articles. Please confirm the current official forms, the two succession nominees and whether we need a secretary. Please itemise the UGX 650,000 quotation into official charges, certification or stamp charges and your professional fee. State whether beneficial ownership filing, TIN, bank resolution and certified copies are included, and quote any extras before incurring them.</w:t>
      </w:r>
    </w:p>
    <w:p>
      <w:pPr>
        <w:pStyle w:val="Heading2"/>
      </w:pPr>
      <w:r>
        <w:t>Collect these records on completion</w:t>
      </w:r>
    </w:p>
    <w:p>
      <w:pPr>
        <w:pStyle w:val="ListBullet"/>
      </w:pPr>
      <w:r>
        <w:t>Certificate of incorporation; filed memorandum and articles; office and director particulars; filed nominee information; payment receipts and submission acknowledgements.</w:t>
      </w:r>
    </w:p>
    <w:p>
      <w:pPr>
        <w:pStyle w:val="ListBullet"/>
      </w:pPr>
      <w:r>
        <w:t>Beneficial ownership filing acknowledgement and register; company TIN certificate; any required certified copies and bank resolution.</w:t>
      </w:r>
    </w:p>
    <w:p>
      <w:pPr>
        <w:pStyle w:val="ListBullet"/>
      </w:pPr>
      <w:r>
        <w:t>Control of the company's registry contact details and access recovery. Keep company accounts and API credentials under the company's control.</w:t>
      </w:r>
    </w:p>
    <w:p>
      <w:r>
        <w:t>The sports information description must remain clear in provider applications. If an institution asks whether a specific forecasting or credit feature needs a separate permission, give it the actual feature description and obtain a scope decision. Company objects and registration alone do not decide a sector licence or production API approval.</w:t>
      </w:r>
    </w:p>
    <w:p>
      <w:r>
        <w:t>Official sources, current form numbering and continuing obligations are in 11 Official sources and filing map.</w:t>
      </w:r>
    </w:p>
    <w:sectPr w:rsidR="00FC693F" w:rsidRPr="0006063C" w:rsidSect="00034616">
      <w:footerReference w:type="default" r:id="rId9"/>
      <w:pgSz w:w="12240" w:h="15840"/>
      <w:pgMar w:top="936" w:right="1224" w:bottom="936"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Goal Hint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4"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100" w:line="25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4"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line="254" w:lineRule="auto"/>
    </w:pPr>
    <w:rPr>
      <w:rFonts w:asciiTheme="majorHAnsi" w:eastAsiaTheme="majorEastAsia" w:hAnsiTheme="majorHAnsi" w:cstheme="majorBidi" w:ascii="Arial" w:hAnsi="Arial"/>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4" w:lineRule="auto"/>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 Hint company registration guide</dc:title>
  <dc:subject>Goal Hint company registration and merchant preparation</dc:subject>
  <dc:creator>Goal Hint</dc:creator>
  <cp:keywords>Uganda, SMC, company registration, merchant collections</cp:keywords>
  <dc:description>generated by python-docx</dc:description>
  <cp:lastModifiedBy/>
  <cp:revision>1</cp:revision>
  <dcterms:created xsi:type="dcterms:W3CDTF">2013-12-23T23:15:00Z</dcterms:created>
  <dcterms:modified xsi:type="dcterms:W3CDTF">2013-12-23T23:15:00Z</dcterms:modified>
  <cp:category/>
</cp:coreProperties>
</file>