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written resolutions</w:t>
      </w:r>
    </w:p>
    <w:p>
      <w:pPr>
        <w:pStyle w:val="Subtitle"/>
      </w:pPr>
      <w:r>
        <w:t>Execute after incorporation using the approved company name and actual dates</w:t>
      </w:r>
    </w:p>
    <w:p>
      <w:pPr>
        <w:pStyle w:val="Heading1"/>
      </w:pPr>
      <w:r>
        <w:t>Written decision of the single member</w:t>
      </w:r>
    </w:p>
    <w:p>
      <w:pPr>
        <w:spacing w:after="140"/>
      </w:pPr>
      <w:r>
        <w:rPr>
          <w:b/>
        </w:rPr>
        <w:t xml:space="preserve">Company name and registration number: </w:t>
      </w:r>
      <w:r>
        <w:t>[COMPANY_NAME]  [COMPANY_NUMBER]</w:t>
      </w:r>
    </w:p>
    <w:p>
      <w:pPr>
        <w:spacing w:after="140"/>
      </w:pPr>
      <w:r>
        <w:rPr>
          <w:b/>
        </w:rPr>
        <w:t xml:space="preserve">Date and place of decision: </w:t>
      </w:r>
      <w:r>
        <w:t>[DATE]  [PLACE]</w:t>
      </w:r>
    </w:p>
    <w:p>
      <w:r>
        <w:t>I, [MEMBER_FULL_NAME], being the single member holding all issued shares of the company, record the following decisions in writing:</w:t>
      </w:r>
    </w:p>
    <w:p>
      <w:r>
        <w:t>1. The company records its issued shareholding, beneficial ownership details and the incorporation records in the company books. Any share issue or payment recorded must match the actual incorporation and allotment records.</w:t>
      </w:r>
    </w:p>
    <w:p>
      <w:r>
        <w:t>2. The business will develop and supply software and football information subscriptions in accordance with its constitution and applicable law. Subscription receipts pay for the company's information and digital services.</w:t>
      </w:r>
    </w:p>
    <w:p>
      <w:r>
        <w:t>3. [DIRECTOR_FULL_NAME] shall act as director consistently with the official appointment record. The nominee and alternate nominee appointments remain those filed with URSB and do not create share ownership.</w:t>
      </w:r>
    </w:p>
    <w:p>
      <w:r>
        <w:t>4. Secretary decision: [NO_SECRETARY_APPOINTED / APPOINT_FULL_NAME_SUBJECT_TO_CONSENT_AND_REQUIRED_FILING]. Delete the unused choice. The sole director shall not act as company secretary.</w:t>
      </w:r>
    </w:p>
    <w:p>
      <w:r>
        <w:t>5. The director is authorised to obtain the company TIN, complete statutory filings, seek applicable local trading permission, and arrange company banking and merchant collections within the company's lawful activities.</w:t>
      </w:r>
    </w:p>
    <w:p>
      <w:r>
        <w:t>6. This written decision shall be delivered to the company for entry in its minute book within three days of the decision, in accordance with the standard SMC articles. Required filings shall use the registrar's current forms.</w:t>
      </w:r>
    </w:p>
    <w:p>
      <w:pPr>
        <w:spacing w:after="140"/>
      </w:pPr>
      <w:r>
        <w:rPr>
          <w:b/>
        </w:rPr>
        <w:t xml:space="preserve">Single member full name: </w:t>
      </w:r>
      <w:r>
        <w:t>[MEMBER_FULL_NAME]</w:t>
      </w:r>
    </w:p>
    <w:p>
      <w:pPr>
        <w:spacing w:after="140"/>
      </w:pPr>
      <w:r>
        <w:rPr>
          <w:b/>
        </w:rPr>
        <w:t xml:space="preserve">Signature: </w:t>
      </w:r>
      <w:r>
        <w:t>________________________________________</w:t>
      </w:r>
    </w:p>
    <w:p>
      <w:pPr>
        <w:spacing w:after="140"/>
      </w:pPr>
      <w:r>
        <w:rPr>
          <w:b/>
        </w:rPr>
        <w:t xml:space="preserve">Date signed: </w:t>
      </w:r>
      <w:r>
        <w:t>[DATE]</w:t>
      </w:r>
    </w:p>
    <w:p>
      <w:pPr>
        <w:spacing w:after="140"/>
      </w:pPr>
      <w:r>
        <w:rPr>
          <w:b/>
        </w:rPr>
        <w:t xml:space="preserve">Minute book entry and delivery date: </w:t>
      </w:r>
      <w:r>
        <w:t>[REFERENCE]  [DATE]</w:t>
      </w:r>
    </w:p>
    <w:p>
      <w:r>
        <w:br w:type="page"/>
      </w:r>
    </w:p>
    <w:p>
      <w:pPr>
        <w:pStyle w:val="Heading1"/>
      </w:pPr>
      <w:r>
        <w:t>Director resolution for banking and merchant collections</w:t>
      </w:r>
    </w:p>
    <w:p>
      <w:pPr>
        <w:spacing w:after="140"/>
      </w:pPr>
      <w:r>
        <w:rPr>
          <w:b/>
        </w:rPr>
        <w:t xml:space="preserve">Company name and registration number: </w:t>
      </w:r>
      <w:r>
        <w:t>[COMPANY_NAME]  [COMPANY_NUMBER]</w:t>
      </w:r>
    </w:p>
    <w:p>
      <w:pPr>
        <w:spacing w:after="140"/>
      </w:pPr>
      <w:r>
        <w:rPr>
          <w:b/>
        </w:rPr>
        <w:t xml:space="preserve">Resolution date and reference: </w:t>
      </w:r>
      <w:r>
        <w:t>[DATE]  [RESOLUTION_REFERENCE]</w:t>
      </w:r>
    </w:p>
    <w:p>
      <w:r>
        <w:t>I, [DIRECTOR_FULL_NAME], acting as sole director, resolve that:</w:t>
      </w:r>
    </w:p>
    <w:p>
      <w:r>
        <w:t>1. The company shall open and operate a [ACCOUNT_TYPE_AND_CURRENCY] account with [BANK_NAME], [BRANCH]. Its title shall be the company's exact registered name. The account shall receive revenue, settle operating expenses and receive approved payment-provider settlements.</w:t>
      </w:r>
    </w:p>
    <w:p>
      <w:r>
        <w:t>2. The authorised signatory or signatories are [FULL_NAMES_AND_ID_REFERENCES]. The signing mandate is [SOLE_SIGNATORY / JOINT_MANDATE_WITH_DETAILS]. Approved transaction and online banking limits are [LIMITS]. Delete unused options.</w:t>
      </w:r>
    </w:p>
    <w:p>
      <w:r>
        <w:t>3. [AUTHORISED_REPRESENTATIVE] is authorised to submit bank and KYC documents, arrange online banking and apply for MTN MoMo and Airtel Money merchant Collections API access and any further approved payment gateway for the company's own service sales.</w:t>
      </w:r>
    </w:p>
    <w:p>
      <w:r>
        <w:t>4. The representative may complete onboarding and sign provider merchant agreements within [AUTHORITY_LIMITS]. Production payment channels and the service-credit feature shall operate only within the lawful scope accepted by the relevant provider. The representative must disclose the actual sports information service and account-credit model.</w:t>
      </w:r>
    </w:p>
    <w:p>
      <w:r>
        <w:t>5. Settlement shall be to [COMPANY_SETTLEMENT_ACCOUNT_DETAILS], subject to the bank and provider mandate. Refunds shall follow the approved customer policy and provider process; this resolution does not authorise general remittance or third-party payment aggregation.</w:t>
      </w:r>
    </w:p>
    <w:p>
      <w:r>
        <w:t>6. The company will protect access credentials, maintain transaction and refund records, reconcile receipts and settlements, and notify institutions of changes in signatories or ownership as required.</w:t>
      </w:r>
    </w:p>
    <w:p>
      <w:pPr>
        <w:spacing w:after="140"/>
      </w:pPr>
      <w:r>
        <w:rPr>
          <w:b/>
        </w:rPr>
        <w:t xml:space="preserve">Sole director full name: </w:t>
      </w:r>
      <w:r>
        <w:t>[DIRECTOR_FULL_NAME]</w:t>
      </w:r>
    </w:p>
    <w:p>
      <w:pPr>
        <w:spacing w:after="140"/>
      </w:pPr>
      <w:r>
        <w:rPr>
          <w:b/>
        </w:rPr>
        <w:t xml:space="preserve">Director signature and date: </w:t>
      </w:r>
      <w:r>
        <w:t>____________________________  [DATE]</w:t>
      </w:r>
    </w:p>
    <w:p>
      <w:pPr>
        <w:spacing w:after="140"/>
      </w:pPr>
      <w:r>
        <w:rPr>
          <w:b/>
        </w:rPr>
        <w:t xml:space="preserve">Company record reference: </w:t>
      </w:r>
      <w:r>
        <w:t>[MINUTE_BOOK_REFERENCE]</w:t>
      </w:r>
    </w:p>
    <w:p>
      <w:r>
        <w:t>Use the bank's own resolution and mandate form if required. Obtain genuine certification or registry filing where the receiving institution requires it. This editable resolution is not already certified. If the company has additional directors, use its actual board procedure and the required signatures instead of the sole-director wording.</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written resolutions</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