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Payment operations and merchant disclosures</w:t>
      </w:r>
    </w:p>
    <w:p>
      <w:pPr>
        <w:pStyle w:val="Subtitle"/>
      </w:pPr>
      <w:r>
        <w:t>For provider review and owner approval | Proposed API flow is not yet a live integration</w:t>
      </w:r>
    </w:p>
    <w:p>
      <w:pPr>
        <w:pStyle w:val="Heading1"/>
      </w:pPr>
      <w:r>
        <w:t>Business model and the current payment flow</w:t>
      </w:r>
    </w:p>
    <w:p>
      <w:r>
        <w:t>Goal Hint collects payment for its own football information subscriptions. It does not accept stakes, submit customers' bets, pool betting money or pay gambling winnings. Its forecasts and odds related tools remain part of the disclosed information product.</w:t>
      </w:r>
    </w:p>
    <w:p>
      <w:pPr>
        <w:pStyle w:val="Heading2"/>
      </w:pPr>
      <w:r>
        <w:t>Current repository functionality</w:t>
      </w:r>
    </w:p>
    <w:p>
      <w:pPr>
        <w:pStyle w:val="ListBullet"/>
      </w:pPr>
      <w:r>
        <w:t>A customer chooses an available plan and pays using the displayed MTN or Airtel payment instructions.</w:t>
      </w:r>
    </w:p>
    <w:p>
      <w:pPr>
        <w:pStyle w:val="ListBullet"/>
      </w:pPr>
      <w:r>
        <w:t>The customer reports the transaction ID and payer number and may attach a receipt image. An administrator verifies the actual receiving transaction and payer details before approving access.</w:t>
      </w:r>
    </w:p>
    <w:p>
      <w:pPr>
        <w:pStyle w:val="ListBullet"/>
      </w:pPr>
      <w:r>
        <w:t>The application records the decision and access period. Receipt images and customer-entered references alone do not establish successful payment.</w:t>
      </w:r>
    </w:p>
    <w:p>
      <w:pPr>
        <w:pStyle w:val="ListBullet"/>
      </w:pPr>
      <w:r>
        <w:t>The repository's public terms describe a prelaunch state. Confirm actual deployment, paid-sales status, receiving account ownership and enabled features before submitting this flow as live.</w:t>
      </w:r>
    </w:p>
    <w:p>
      <w:pPr>
        <w:pStyle w:val="Heading2"/>
      </w:pPr>
      <w:r>
        <w:t>Service credits must be disclosed</w:t>
      </w:r>
    </w:p>
    <w:p>
      <w:r>
        <w:t>Implemented credit features include approved top-ups of UGX 1,000 to UGX 500,000, excess plan payments recorded as credit, immediate plan purchases from credit and optional renewal from credit. Confirm current limits before submission. Credit is intended for Goal Hint plans only; it cannot ordinarily be transferred to another customer, withdrawn as cash or earn interest. Refunds required by law or agreed by the provider are a separate process.</w:t>
      </w:r>
    </w:p>
    <w:p>
      <w:r>
        <w:t>A verified change of a customer's own phone number can move the same customer's account credit; it is not a customer-to-customer transfer. Reversals can leave a negative credit balance if the reversed credit was spent. The provider should review these rules and the applicable consumer policy before approving real-money use.</w:t>
      </w:r>
    </w:p>
    <w:p>
      <w:pPr>
        <w:spacing w:after="140"/>
      </w:pPr>
      <w:r>
        <w:rPr>
          <w:b/>
        </w:rPr>
        <w:t xml:space="preserve">Credit enabled in the proposed live service: </w:t>
      </w:r>
      <w:r>
        <w:t>[YES_NO_AND_FEATURE_DETAILS]</w:t>
      </w:r>
    </w:p>
    <w:p>
      <w:pPr>
        <w:spacing w:after="140"/>
      </w:pPr>
      <w:r>
        <w:rPr>
          <w:b/>
        </w:rPr>
        <w:t xml:space="preserve">Actual transaction and balance limits: </w:t>
      </w:r>
      <w:r>
        <w:t>[LIMITS]</w:t>
      </w:r>
    </w:p>
    <w:p>
      <w:pPr>
        <w:spacing w:after="140"/>
      </w:pPr>
      <w:r>
        <w:rPr>
          <w:b/>
        </w:rPr>
        <w:t xml:space="preserve">Provider acceptance or scope clarification: </w:t>
      </w:r>
      <w:r>
        <w:t>[PROVIDER_DATE_REFERENCE_OR_PENDING]</w:t>
      </w:r>
    </w:p>
    <w:p>
      <w:r>
        <w:t>A simpler direct-plan-payment-only launch is an option for the owner to consider. It would require actual changes to disable top-ups, surplus credit and balance renewal consistently before describing that flow to a provider. It is not the current implemented model and this package does not change the application.</w:t>
      </w:r>
    </w:p>
    <w:p>
      <w:r>
        <w:br w:type="page"/>
      </w:r>
    </w:p>
    <w:p>
      <w:pPr>
        <w:pStyle w:val="Heading1"/>
      </w:pPr>
      <w:r>
        <w:t>Proposed production API collection process</w:t>
      </w:r>
    </w:p>
    <w:p>
      <w:r>
        <w:t>The following process is a proposed control standard for integration after the merchant and production product are approved. It must be implemented and tested before the company claims it operates this way.</w:t>
      </w:r>
    </w:p>
    <w:p>
      <w:pPr>
        <w:pStyle w:val="ListBullet"/>
      </w:pPr>
      <w:r>
        <w:t>Show the exact legal seller, plan, price in UGX, access duration, renewal choice, support details and cancellation or refund policy before the customer confirms.</w:t>
      </w:r>
    </w:p>
    <w:p>
      <w:pPr>
        <w:pStyle w:val="ListBullet"/>
      </w:pPr>
      <w:r>
        <w:t>Create a unique server-side payment reference linked to the customer and plan or approved credit purpose. Store the expected amount and currency.</w:t>
      </w:r>
    </w:p>
    <w:p>
      <w:pPr>
        <w:pStyle w:val="ListBullet"/>
      </w:pPr>
      <w:r>
        <w:t>Send the collection request through the approved provider. The customer authorises payment in the provider's own trusted flow. Goal Hint must never request a mobile money PIN or OTP by chat or support message.</w:t>
      </w:r>
    </w:p>
    <w:p>
      <w:pPr>
        <w:pStyle w:val="ListBullet"/>
      </w:pPr>
      <w:r>
        <w:t>Treat timeouts and pending responses as pending. Verify authoritative provider status, amount, currency, reference and destination before granting access or credit.</w:t>
      </w:r>
    </w:p>
    <w:p>
      <w:pPr>
        <w:pStyle w:val="ListBullet"/>
      </w:pPr>
      <w:r>
        <w:t>Process each provider transaction once. Verify callbacks as required by the provider, handle retries safely and reconcile uncertain responses before retrying a charge.</w:t>
      </w:r>
    </w:p>
    <w:p>
      <w:pPr>
        <w:pStyle w:val="ListBullet"/>
      </w:pPr>
      <w:r>
        <w:t>Grant access or credit only on verified success. Record the order, provider transaction, fee, settlement, access decision, ledger entry where applicable and customer notification.</w:t>
      </w:r>
    </w:p>
    <w:p>
      <w:pPr>
        <w:pStyle w:val="ListBullet"/>
      </w:pPr>
      <w:r>
        <w:t>Reconcile provider receipts, company balances and bank settlements regularly. Escalate mismatches and unresolved payments to the provider; do not ask a customer to pay again solely because a response timed out.</w:t>
      </w:r>
    </w:p>
    <w:p>
      <w:pPr>
        <w:pStyle w:val="ListBullet"/>
      </w:pPr>
      <w:r>
        <w:t>Handle refunds and reversals using the provider's authorised process. Verify the payer and original payment, prevent duplicate refunds, adjust affected access and credit fairly, and preserve audit evidence.</w:t>
      </w:r>
    </w:p>
    <w:p>
      <w:pPr>
        <w:pStyle w:val="Heading2"/>
      </w:pPr>
      <w:r>
        <w:t>Settlement and accountability</w:t>
      </w:r>
    </w:p>
    <w:p>
      <w:pPr>
        <w:spacing w:after="140"/>
      </w:pPr>
      <w:r>
        <w:rPr>
          <w:b/>
        </w:rPr>
        <w:t xml:space="preserve">Legal merchant and settlement account: </w:t>
      </w:r>
      <w:r>
        <w:t>[COMPANY_NAME]  [ACCOUNT_DETAILS]</w:t>
      </w:r>
    </w:p>
    <w:p>
      <w:pPr>
        <w:spacing w:after="140"/>
      </w:pPr>
      <w:r>
        <w:rPr>
          <w:b/>
        </w:rPr>
        <w:t xml:space="preserve">Owner of reconciliation and review frequency: </w:t>
      </w:r>
      <w:r>
        <w:t>[RESPONSIBLE_PERSON]  [FREQUENCY]</w:t>
      </w:r>
    </w:p>
    <w:p>
      <w:pPr>
        <w:spacing w:after="140"/>
      </w:pPr>
      <w:r>
        <w:rPr>
          <w:b/>
        </w:rPr>
        <w:t xml:space="preserve">Customer complaints contact: </w:t>
      </w:r>
      <w:r>
        <w:t>[SUPPORT_EMAIL]  [SUPPORT_PHONE]</w:t>
      </w:r>
    </w:p>
    <w:p>
      <w:pPr>
        <w:spacing w:after="140"/>
      </w:pPr>
      <w:r>
        <w:rPr>
          <w:b/>
        </w:rPr>
        <w:t xml:space="preserve">Refund approver and limits: </w:t>
      </w:r>
      <w:r>
        <w:t>[NAME_ROLE]  [LIMITS]</w:t>
      </w:r>
    </w:p>
    <w:p>
      <w:pPr>
        <w:spacing w:after="140"/>
      </w:pPr>
      <w:r>
        <w:rPr>
          <w:b/>
        </w:rPr>
        <w:t xml:space="preserve">Incident escalation contact: </w:t>
      </w:r>
      <w:r>
        <w:t>[INTERNAL_CONTACT_AND_PROVIDER_CHANNEL]</w:t>
      </w:r>
    </w:p>
    <w:p>
      <w:r>
        <w:t>A separate bank or regulated gateway may provide other payment channels, subject to its Uganda availability, current authorisation and merchant acceptance. Request its written channel, currency, charge, refund and settlement terms before advertising availability.</w:t>
      </w:r>
    </w:p>
    <w:p>
      <w:r>
        <w:br w:type="page"/>
      </w:r>
    </w:p>
    <w:p>
      <w:pPr>
        <w:pStyle w:val="Heading1"/>
      </w:pPr>
      <w:r>
        <w:t>Provider submission and approval checklist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704"/>
      </w:tblGrid>
      <w:tr>
        <w:trPr>
          <w:tblHeader/>
          <w:cantSplit/>
        </w:trPr>
        <w:tc>
          <w:tcPr>
            <w:tcW w:type="dxa" w:w="2088"/>
            <w:shd w:fill="E7E6E6"/>
            <w:vAlign w:val="center"/>
            <w:tcMar>
              <w:top w:w="85" w:type="dxa"/>
              <w:bottom w:w="85" w:type="dxa"/>
              <w:left w:w="100" w:type="dxa"/>
              <w:right w:w="100" w:type="dxa"/>
            </w:tcMar>
          </w:tcPr>
          <w:p>
            <w:pPr>
              <w:spacing w:after="0" w:line="240" w:lineRule="auto"/>
            </w:pPr>
            <w:r>
              <w:rPr>
                <w:b/>
                <w:color w:val="000000"/>
                <w:sz w:val="20"/>
              </w:rPr>
              <w:t>Area</w:t>
            </w:r>
          </w:p>
        </w:tc>
        <w:tc>
          <w:tcPr>
            <w:tcW w:type="dxa" w:w="7704"/>
            <w:shd w:fill="E7E6E6"/>
            <w:vAlign w:val="center"/>
            <w:tcMar>
              <w:top w:w="85" w:type="dxa"/>
              <w:bottom w:w="85" w:type="dxa"/>
              <w:left w:w="100" w:type="dxa"/>
              <w:right w:w="100" w:type="dxa"/>
            </w:tcMar>
          </w:tcPr>
          <w:p>
            <w:pPr>
              <w:spacing w:after="0" w:line="240" w:lineRule="auto"/>
            </w:pPr>
            <w:r>
              <w:rPr>
                <w:b/>
                <w:color w:val="000000"/>
                <w:sz w:val="20"/>
              </w:rPr>
              <w:t>Supply or confirm</w:t>
            </w:r>
          </w:p>
        </w:tc>
      </w:tr>
      <w:tr>
        <w:trPr>
          <w:cantSplit/>
        </w:trPr>
        <w:tc>
          <w:tcPr>
            <w:tcW w:type="dxa" w:w="2088"/>
            <w:vAlign w:val="center"/>
            <w:tcMar>
              <w:top w:w="85" w:type="dxa"/>
              <w:bottom w:w="85" w:type="dxa"/>
              <w:left w:w="100" w:type="dxa"/>
              <w:right w:w="100" w:type="dxa"/>
            </w:tcMar>
          </w:tcPr>
          <w:p>
            <w:pPr>
              <w:spacing w:after="0" w:line="240" w:lineRule="auto"/>
            </w:pPr>
            <w:r>
              <w:rPr>
                <w:color w:val="000000"/>
                <w:sz w:val="20"/>
              </w:rPr>
              <w:t>Entity</w:t>
            </w:r>
          </w:p>
        </w:tc>
        <w:tc>
          <w:tcPr>
            <w:tcW w:type="dxa" w:w="7704"/>
            <w:vAlign w:val="center"/>
            <w:tcMar>
              <w:top w:w="85" w:type="dxa"/>
              <w:bottom w:w="85" w:type="dxa"/>
              <w:left w:w="100" w:type="dxa"/>
              <w:right w:w="100" w:type="dxa"/>
            </w:tcMar>
          </w:tcPr>
          <w:p>
            <w:pPr>
              <w:spacing w:after="0" w:line="240" w:lineRule="auto"/>
            </w:pPr>
            <w:r>
              <w:rPr>
                <w:color w:val="000000"/>
                <w:sz w:val="20"/>
              </w:rPr>
              <w:t>Incorporation, constitution, current director and office records, TIN</w:t>
            </w:r>
          </w:p>
        </w:tc>
      </w:tr>
      <w:tr>
        <w:trPr>
          <w:cantSplit/>
        </w:trPr>
        <w:tc>
          <w:tcPr>
            <w:tcW w:type="dxa" w:w="2088"/>
            <w:vAlign w:val="center"/>
            <w:tcMar>
              <w:top w:w="85" w:type="dxa"/>
              <w:bottom w:w="85" w:type="dxa"/>
              <w:left w:w="100" w:type="dxa"/>
              <w:right w:w="100" w:type="dxa"/>
            </w:tcMar>
          </w:tcPr>
          <w:p>
            <w:pPr>
              <w:spacing w:after="0" w:line="240" w:lineRule="auto"/>
            </w:pPr>
            <w:r>
              <w:rPr>
                <w:color w:val="000000"/>
                <w:sz w:val="20"/>
              </w:rPr>
              <w:t>People</w:t>
            </w:r>
          </w:p>
        </w:tc>
        <w:tc>
          <w:tcPr>
            <w:tcW w:type="dxa" w:w="7704"/>
            <w:vAlign w:val="center"/>
            <w:tcMar>
              <w:top w:w="85" w:type="dxa"/>
              <w:bottom w:w="85" w:type="dxa"/>
              <w:left w:w="100" w:type="dxa"/>
              <w:right w:w="100" w:type="dxa"/>
            </w:tcMar>
          </w:tcPr>
          <w:p>
            <w:pPr>
              <w:spacing w:after="0" w:line="240" w:lineRule="auto"/>
            </w:pPr>
            <w:r>
              <w:rPr>
                <w:color w:val="000000"/>
                <w:sz w:val="20"/>
              </w:rPr>
              <w:t>Authorised representative, directors, owners and controllers; secure KYC records</w:t>
            </w:r>
          </w:p>
        </w:tc>
      </w:tr>
      <w:tr>
        <w:trPr>
          <w:cantSplit/>
        </w:trPr>
        <w:tc>
          <w:tcPr>
            <w:tcW w:type="dxa" w:w="2088"/>
            <w:vAlign w:val="center"/>
            <w:tcMar>
              <w:top w:w="85" w:type="dxa"/>
              <w:bottom w:w="85" w:type="dxa"/>
              <w:left w:w="100" w:type="dxa"/>
              <w:right w:w="100" w:type="dxa"/>
            </w:tcMar>
          </w:tcPr>
          <w:p>
            <w:pPr>
              <w:spacing w:after="0" w:line="240" w:lineRule="auto"/>
            </w:pPr>
            <w:r>
              <w:rPr>
                <w:color w:val="000000"/>
                <w:sz w:val="20"/>
              </w:rPr>
              <w:t>Operating permission</w:t>
            </w:r>
          </w:p>
        </w:tc>
        <w:tc>
          <w:tcPr>
            <w:tcW w:type="dxa" w:w="7704"/>
            <w:vAlign w:val="center"/>
            <w:tcMar>
              <w:top w:w="85" w:type="dxa"/>
              <w:bottom w:w="85" w:type="dxa"/>
              <w:left w:w="100" w:type="dxa"/>
              <w:right w:w="100" w:type="dxa"/>
            </w:tcMar>
          </w:tcPr>
          <w:p>
            <w:pPr>
              <w:spacing w:after="0" w:line="240" w:lineRule="auto"/>
            </w:pPr>
            <w:r>
              <w:rPr>
                <w:color w:val="000000"/>
                <w:sz w:val="20"/>
              </w:rPr>
              <w:t>Applicable trading licence and any additional permission requested for the disclosed activity</w:t>
            </w:r>
          </w:p>
        </w:tc>
      </w:tr>
      <w:tr>
        <w:trPr>
          <w:cantSplit/>
        </w:trPr>
        <w:tc>
          <w:tcPr>
            <w:tcW w:type="dxa" w:w="2088"/>
            <w:vAlign w:val="center"/>
            <w:tcMar>
              <w:top w:w="85" w:type="dxa"/>
              <w:bottom w:w="85" w:type="dxa"/>
              <w:left w:w="100" w:type="dxa"/>
              <w:right w:w="100" w:type="dxa"/>
            </w:tcMar>
          </w:tcPr>
          <w:p>
            <w:pPr>
              <w:spacing w:after="0" w:line="240" w:lineRule="auto"/>
            </w:pPr>
            <w:r>
              <w:rPr>
                <w:color w:val="000000"/>
                <w:sz w:val="20"/>
              </w:rPr>
              <w:t>Banking</w:t>
            </w:r>
          </w:p>
        </w:tc>
        <w:tc>
          <w:tcPr>
            <w:tcW w:type="dxa" w:w="7704"/>
            <w:vAlign w:val="center"/>
            <w:tcMar>
              <w:top w:w="85" w:type="dxa"/>
              <w:bottom w:w="85" w:type="dxa"/>
              <w:left w:w="100" w:type="dxa"/>
              <w:right w:w="100" w:type="dxa"/>
            </w:tcMar>
          </w:tcPr>
          <w:p>
            <w:pPr>
              <w:spacing w:after="0" w:line="240" w:lineRule="auto"/>
            </w:pPr>
            <w:r>
              <w:rPr>
                <w:color w:val="000000"/>
                <w:sz w:val="20"/>
              </w:rPr>
              <w:t>Company account confirmation, resolution, mandate and approved settlement details</w:t>
            </w:r>
          </w:p>
        </w:tc>
      </w:tr>
      <w:tr>
        <w:trPr>
          <w:cantSplit/>
        </w:trPr>
        <w:tc>
          <w:tcPr>
            <w:tcW w:type="dxa" w:w="2088"/>
            <w:vAlign w:val="center"/>
            <w:tcMar>
              <w:top w:w="85" w:type="dxa"/>
              <w:bottom w:w="85" w:type="dxa"/>
              <w:left w:w="100" w:type="dxa"/>
              <w:right w:w="100" w:type="dxa"/>
            </w:tcMar>
          </w:tcPr>
          <w:p>
            <w:pPr>
              <w:spacing w:after="0" w:line="240" w:lineRule="auto"/>
            </w:pPr>
            <w:r>
              <w:rPr>
                <w:color w:val="000000"/>
                <w:sz w:val="20"/>
              </w:rPr>
              <w:t>Product</w:t>
            </w:r>
          </w:p>
        </w:tc>
        <w:tc>
          <w:tcPr>
            <w:tcW w:type="dxa" w:w="7704"/>
            <w:vAlign w:val="center"/>
            <w:tcMar>
              <w:top w:w="85" w:type="dxa"/>
              <w:bottom w:w="85" w:type="dxa"/>
              <w:left w:w="100" w:type="dxa"/>
              <w:right w:w="100" w:type="dxa"/>
            </w:tcMar>
          </w:tcPr>
          <w:p>
            <w:pPr>
              <w:spacing w:after="0" w:line="240" w:lineRule="auto"/>
            </w:pPr>
            <w:r>
              <w:rPr>
                <w:color w:val="000000"/>
                <w:sz w:val="20"/>
              </w:rPr>
              <w:t>Working website, honest sports information profile, plan prices and credit features</w:t>
            </w:r>
          </w:p>
        </w:tc>
      </w:tr>
      <w:tr>
        <w:trPr>
          <w:cantSplit/>
        </w:trPr>
        <w:tc>
          <w:tcPr>
            <w:tcW w:type="dxa" w:w="2088"/>
            <w:vAlign w:val="center"/>
            <w:tcMar>
              <w:top w:w="85" w:type="dxa"/>
              <w:bottom w:w="85" w:type="dxa"/>
              <w:left w:w="100" w:type="dxa"/>
              <w:right w:w="100" w:type="dxa"/>
            </w:tcMar>
          </w:tcPr>
          <w:p>
            <w:pPr>
              <w:spacing w:after="0" w:line="240" w:lineRule="auto"/>
            </w:pPr>
            <w:r>
              <w:rPr>
                <w:color w:val="000000"/>
                <w:sz w:val="20"/>
              </w:rPr>
              <w:t>Customer rights</w:t>
            </w:r>
          </w:p>
        </w:tc>
        <w:tc>
          <w:tcPr>
            <w:tcW w:type="dxa" w:w="7704"/>
            <w:vAlign w:val="center"/>
            <w:tcMar>
              <w:top w:w="85" w:type="dxa"/>
              <w:bottom w:w="85" w:type="dxa"/>
              <w:left w:w="100" w:type="dxa"/>
              <w:right w:w="100" w:type="dxa"/>
            </w:tcMar>
          </w:tcPr>
          <w:p>
            <w:pPr>
              <w:spacing w:after="0" w:line="240" w:lineRule="auto"/>
            </w:pPr>
            <w:r>
              <w:rPr>
                <w:color w:val="000000"/>
                <w:sz w:val="20"/>
              </w:rPr>
              <w:t>Approved terms, refunds, cancellation, support contact and privacy notice</w:t>
            </w:r>
          </w:p>
        </w:tc>
      </w:tr>
      <w:tr>
        <w:trPr>
          <w:cantSplit/>
        </w:trPr>
        <w:tc>
          <w:tcPr>
            <w:tcW w:type="dxa" w:w="2088"/>
            <w:vAlign w:val="center"/>
            <w:tcMar>
              <w:top w:w="85" w:type="dxa"/>
              <w:bottom w:w="85" w:type="dxa"/>
              <w:left w:w="100" w:type="dxa"/>
              <w:right w:w="100" w:type="dxa"/>
            </w:tcMar>
          </w:tcPr>
          <w:p>
            <w:pPr>
              <w:spacing w:after="0" w:line="240" w:lineRule="auto"/>
            </w:pPr>
            <w:r>
              <w:rPr>
                <w:color w:val="000000"/>
                <w:sz w:val="20"/>
              </w:rPr>
              <w:t>Forecast volumes</w:t>
            </w:r>
          </w:p>
        </w:tc>
        <w:tc>
          <w:tcPr>
            <w:tcW w:type="dxa" w:w="7704"/>
            <w:vAlign w:val="center"/>
            <w:tcMar>
              <w:top w:w="85" w:type="dxa"/>
              <w:bottom w:w="85" w:type="dxa"/>
              <w:left w:w="100" w:type="dxa"/>
              <w:right w:w="100" w:type="dxa"/>
            </w:tcMar>
          </w:tcPr>
          <w:p>
            <w:pPr>
              <w:spacing w:after="0" w:line="240" w:lineRule="auto"/>
            </w:pPr>
            <w:r>
              <w:rPr>
                <w:color w:val="000000"/>
                <w:sz w:val="20"/>
              </w:rPr>
              <w:t>Clearly estimated monthly count/value, average and maximum charge, customer countries</w:t>
            </w:r>
          </w:p>
        </w:tc>
      </w:tr>
      <w:tr>
        <w:trPr>
          <w:cantSplit/>
        </w:trPr>
        <w:tc>
          <w:tcPr>
            <w:tcW w:type="dxa" w:w="2088"/>
            <w:vAlign w:val="center"/>
            <w:tcMar>
              <w:top w:w="85" w:type="dxa"/>
              <w:bottom w:w="85" w:type="dxa"/>
              <w:left w:w="100" w:type="dxa"/>
              <w:right w:w="100" w:type="dxa"/>
            </w:tcMar>
          </w:tcPr>
          <w:p>
            <w:pPr>
              <w:spacing w:after="0" w:line="240" w:lineRule="auto"/>
            </w:pPr>
            <w:r>
              <w:rPr>
                <w:color w:val="000000"/>
                <w:sz w:val="20"/>
              </w:rPr>
              <w:t>Technical readiness</w:t>
            </w:r>
          </w:p>
        </w:tc>
        <w:tc>
          <w:tcPr>
            <w:tcW w:type="dxa" w:w="7704"/>
            <w:vAlign w:val="center"/>
            <w:tcMar>
              <w:top w:w="85" w:type="dxa"/>
              <w:bottom w:w="85" w:type="dxa"/>
              <w:left w:w="100" w:type="dxa"/>
              <w:right w:w="100" w:type="dxa"/>
            </w:tcMar>
          </w:tcPr>
          <w:p>
            <w:pPr>
              <w:spacing w:after="0" w:line="240" w:lineRule="auto"/>
            </w:pPr>
            <w:r>
              <w:rPr>
                <w:color w:val="000000"/>
                <w:sz w:val="20"/>
              </w:rPr>
              <w:t>Sandbox results, security controls, callback and status handling, reconciliation tests</w:t>
            </w:r>
          </w:p>
        </w:tc>
      </w:tr>
      <w:tr>
        <w:trPr>
          <w:cantSplit/>
        </w:trPr>
        <w:tc>
          <w:tcPr>
            <w:tcW w:type="dxa" w:w="2088"/>
            <w:vAlign w:val="center"/>
            <w:tcMar>
              <w:top w:w="85" w:type="dxa"/>
              <w:bottom w:w="85" w:type="dxa"/>
              <w:left w:w="100" w:type="dxa"/>
              <w:right w:w="100" w:type="dxa"/>
            </w:tcMar>
          </w:tcPr>
          <w:p>
            <w:pPr>
              <w:spacing w:after="0" w:line="240" w:lineRule="auto"/>
            </w:pPr>
            <w:r>
              <w:rPr>
                <w:color w:val="000000"/>
                <w:sz w:val="20"/>
              </w:rPr>
              <w:t>Production permission</w:t>
            </w:r>
          </w:p>
        </w:tc>
        <w:tc>
          <w:tcPr>
            <w:tcW w:type="dxa" w:w="7704"/>
            <w:vAlign w:val="center"/>
            <w:tcMar>
              <w:top w:w="85" w:type="dxa"/>
              <w:bottom w:w="85" w:type="dxa"/>
              <w:left w:w="100" w:type="dxa"/>
              <w:right w:w="100" w:type="dxa"/>
            </w:tcMar>
          </w:tcPr>
          <w:p>
            <w:pPr>
              <w:spacing w:after="0" w:line="240" w:lineRule="auto"/>
            </w:pPr>
            <w:r>
              <w:rPr>
                <w:color w:val="000000"/>
                <w:sz w:val="20"/>
              </w:rPr>
              <w:t>Completed KYC and contracts; approved countries, products, limits and live credentials</w:t>
            </w:r>
          </w:p>
        </w:tc>
      </w:tr>
    </w:tbl>
    <w:p>
      <w:pPr>
        <w:spacing w:after="0"/>
      </w:pPr>
    </w:p>
    <w:p>
      <w:pPr>
        <w:pStyle w:val="Heading2"/>
      </w:pPr>
      <w:r>
        <w:t>Distinguish the approvals</w:t>
      </w:r>
    </w:p>
    <w:p>
      <w:r>
        <w:t>URSB incorporation establishes the legal entity. It does not grant a payment services licence or guarantee a merchant account. A developer sandbox account is for testing; a merchant code and a production API product can require different approvals.</w:t>
      </w:r>
    </w:p>
    <w:p>
      <w:r>
        <w:t>The Bank of Uganda's 2025 oversight framework discusses instruments restricted to a single payee type or specified use, including some closed-loop schemes. This is relevant background for plan-only credit, not an exemption decision for Goal Hint. Seek the provider's written assessment of the actual credit flow and a Bank of Uganda scope clarification if the classification remains uncertain.</w:t>
      </w:r>
    </w:p>
    <w:p>
      <w:pPr>
        <w:pStyle w:val="Heading2"/>
      </w:pPr>
      <w:r>
        <w:t>Record the decision before using real money</w:t>
      </w:r>
    </w:p>
    <w:p>
      <w:pPr>
        <w:spacing w:after="140"/>
      </w:pPr>
      <w:r>
        <w:rPr>
          <w:b/>
        </w:rPr>
        <w:t xml:space="preserve">Provider product and country: </w:t>
      </w:r>
      <w:r>
        <w:t>[PROVIDER]  [PRODUCT]  Uganda</w:t>
      </w:r>
    </w:p>
    <w:p>
      <w:pPr>
        <w:spacing w:after="140"/>
      </w:pPr>
      <w:r>
        <w:rPr>
          <w:b/>
        </w:rPr>
        <w:t xml:space="preserve">Approved collection and credit scope: </w:t>
      </w:r>
      <w:r>
        <w:t>[SCOPE_AND_LIMITS]</w:t>
      </w:r>
    </w:p>
    <w:p>
      <w:pPr>
        <w:spacing w:after="140"/>
      </w:pPr>
      <w:r>
        <w:rPr>
          <w:b/>
        </w:rPr>
        <w:t xml:space="preserve">Approval or agreement reference and date: </w:t>
      </w:r>
      <w:r>
        <w:t>[REFERENCE]  [DATE]</w:t>
      </w:r>
    </w:p>
    <w:p>
      <w:pPr>
        <w:spacing w:after="140"/>
      </w:pPr>
      <w:r>
        <w:rPr>
          <w:b/>
        </w:rPr>
        <w:t xml:space="preserve">Test acceptance and production activation: </w:t>
      </w:r>
      <w:r>
        <w:t>[EVIDENCE_REFERENCE]  [ACTIVATION_DATE]</w:t>
      </w:r>
    </w:p>
    <w:p>
      <w:pPr>
        <w:spacing w:after="140"/>
      </w:pPr>
      <w:r>
        <w:rPr>
          <w:b/>
        </w:rPr>
        <w:t xml:space="preserve">Director approval: </w:t>
      </w:r>
      <w:r>
        <w:t>[NAME]  Signature: __________________  Date: [DATE]</w:t>
      </w:r>
    </w:p>
    <w:sectPr w:rsidR="00FC693F" w:rsidRPr="0006063C" w:rsidSect="00034616">
      <w:footerReference w:type="default" r:id="rId9"/>
      <w:pgSz w:w="12240" w:h="15840"/>
      <w:pgMar w:top="936" w:right="1224" w:bottom="936"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Goal Hint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4"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4"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54" w:lineRule="auto"/>
    </w:pPr>
    <w:rPr>
      <w:rFonts w:asciiTheme="majorHAnsi" w:eastAsiaTheme="majorEastAsia" w:hAnsiTheme="majorHAnsi" w:cstheme="majorBidi" w:ascii="Arial" w:hAnsi="Arial"/>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operations and merchant disclosures</dc:title>
  <dc:subject>Goal Hint company registration and merchant preparation</dc:subject>
  <dc:creator>Goal Hint</dc:creator>
  <cp:keywords>Uganda, SMC, company registration, merchant collections</cp:keywords>
  <dc:description>generated by python-docx</dc:description>
  <cp:lastModifiedBy/>
  <cp:revision>1</cp:revision>
  <dcterms:created xsi:type="dcterms:W3CDTF">2013-12-23T23:15:00Z</dcterms:created>
  <dcterms:modified xsi:type="dcterms:W3CDTF">2013-12-23T23:15:00Z</dcterms:modified>
  <cp:category/>
</cp:coreProperties>
</file>