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Narrow" w:cs="Arial Narrow" w:eastAsia="Arial Narrow" w:hAnsi="Arial Narrow"/>
          <w:b/>
          <w:bCs/>
          <w:sz w:val="30"/>
          <w:szCs w:val="30"/>
        </w:rPr>
        <w:t xml:space="preserve">EXECUTIVE SUMMARY</w:t>
      </w:r>
    </w:p>
    <w:p>
      <w:pPr>
        <w:spacing w:after="80" w:before="160"/>
      </w:pPr>
      <w:r>
        <w:rPr>
          <w:rFonts w:ascii="Arial Narrow" w:cs="Arial Narrow" w:eastAsia="Arial Narrow" w:hAnsi="Arial Narrow"/>
          <w:b/>
          <w:bCs/>
          <w:sz w:val="24"/>
          <w:szCs w:val="24"/>
        </w:rPr>
        <w:t xml:space="preserve">General background</w:t>
      </w:r>
    </w:p>
    <w:p>
      <w:pPr>
        <w:spacing w:after="120" w:line="264"/>
        <w:jc w:val="both"/>
      </w:pPr>
      <w:r>
        <w:rPr>
          <w:rFonts w:ascii="Arial Narrow" w:cs="Arial Narrow" w:eastAsia="Arial Narrow" w:hAnsi="Arial Narrow"/>
          <w:sz w:val="22"/>
          <w:szCs w:val="22"/>
        </w:rPr>
        <w:t xml:space="preserve">The Uganda Intergovernmental Fiscal Transfers (UgIFT) Programme is a government programme implemented through a Programme-for-Results (PforR), beginning with US$200 million in FY2017/18 and later expanded through additional financing of US$300 million, making the overall funding total of US$500 million. The programme supported Education, Health, Water and Environment, and Agriculture (micro-scale irrigation), together with interventions in refugee-hosting districts, and came to an end on 31st December 2025. As part of the programme's closure activities, the Ministry of Finance, Planning and Economic Development (MoFPED), through the Reform Coordination Unit (RCU), commissioned an end-of-programme asset verification exercise covering 15 national level Ministries, Departments and Agencies (MDAs), the three Regional Blood Banks of Arua, Hoima and Soroti, and 629 local government facilities comprising 371 Health Centres and 258 Seed Secondary Schools, with physical verification from 24th August 2026 to 17th September 2026.</w:t>
      </w:r>
    </w:p>
    <w:p>
      <w:pPr>
        <w:spacing w:after="80" w:before="160"/>
      </w:pPr>
      <w:r>
        <w:rPr>
          <w:rFonts w:ascii="Arial Narrow" w:cs="Arial Narrow" w:eastAsia="Arial Narrow" w:hAnsi="Arial Narrow"/>
          <w:b/>
          <w:bCs/>
          <w:sz w:val="24"/>
          <w:szCs w:val="24"/>
        </w:rPr>
        <w:t xml:space="preserve">Asset availability</w:t>
      </w:r>
    </w:p>
    <w:p>
      <w:pPr>
        <w:spacing w:after="120" w:line="264"/>
        <w:jc w:val="both"/>
      </w:pPr>
      <w:r>
        <w:rPr>
          <w:rFonts w:ascii="Arial Narrow" w:cs="Arial Narrow" w:eastAsia="Arial Narrow" w:hAnsi="Arial Narrow"/>
          <w:sz w:val="22"/>
          <w:szCs w:val="22"/>
        </w:rPr>
        <w:t xml:space="preserve">A total of 228,800 assets were recorded across the targeted institutions, comprising the MDAs, the beneficiary Blood Banks, the upgraded Health Centres and the Seed Secondary Schools. Seed Secondary Schools held the majority of the assets at 63.4% (145,256), followed by Health Centres with 29% (66,499), while MDAs held 7.3% (16,663) and the regional Blood Banks 0.3% (602). The assets verified included vehicles, ICT equipment such as laptops, desktop computers, tablets and printers, furniture, UPS systems, clinical and laboratory equipment and buildings, among others. Among the MDAs, most assets (94.6%) were at the Ministry of Education and Sports, the Ministry of Water and Environment and the Ministry of Agriculture, Animal Industry and Fisheries.</w:t>
      </w:r>
    </w:p>
    <w:p>
      <w:pPr>
        <w:spacing w:after="80" w:before="160"/>
      </w:pPr>
      <w:r>
        <w:rPr>
          <w:rFonts w:ascii="Arial Narrow" w:cs="Arial Narrow" w:eastAsia="Arial Narrow" w:hAnsi="Arial Narrow"/>
          <w:b/>
          <w:bCs/>
          <w:sz w:val="24"/>
          <w:szCs w:val="24"/>
        </w:rPr>
        <w:t xml:space="preserve">Asset condition and functionality</w:t>
      </w:r>
    </w:p>
    <w:p>
      <w:pPr>
        <w:spacing w:after="120" w:line="264"/>
        <w:jc w:val="both"/>
      </w:pPr>
      <w:r>
        <w:rPr>
          <w:rFonts w:ascii="Arial Narrow" w:cs="Arial Narrow" w:eastAsia="Arial Narrow" w:hAnsi="Arial Narrow"/>
          <w:sz w:val="22"/>
          <w:szCs w:val="22"/>
        </w:rPr>
        <w:t xml:space="preserve">The verification assessed the condition and functionality of all assets recorded under the programme. Of the 228,800 assets verified, 215,280 (94.1%) were classified as functional and in use, while 13,504 (5.9%) were classified as faulty and not in use. Functionality was high across all locations, with 99.9% of assets at MDAs in good condition and in use, 94.6% at Seed Secondary Schools, 96.0% at the regional Blood Banks and 91.4% at Health Centres. A number of functional assets remained in store rather than deployed, attributed mainly to localised challenges such as power, incomplete structures and untrained staff, among others. Faulty items were mainly furniture in Seed Secondary Schools and clinical equipment in Health Centres requiring repair.</w:t>
      </w:r>
    </w:p>
    <w:p>
      <w:pPr>
        <w:spacing w:after="80" w:before="160"/>
      </w:pPr>
      <w:r>
        <w:rPr>
          <w:rFonts w:ascii="Arial Narrow" w:cs="Arial Narrow" w:eastAsia="Arial Narrow" w:hAnsi="Arial Narrow"/>
          <w:b/>
          <w:bCs/>
          <w:sz w:val="24"/>
          <w:szCs w:val="24"/>
        </w:rPr>
        <w:t xml:space="preserve">Asset marking and identification</w:t>
      </w:r>
    </w:p>
    <w:p>
      <w:pPr>
        <w:spacing w:after="120" w:line="264"/>
        <w:jc w:val="both"/>
      </w:pPr>
      <w:r>
        <w:rPr>
          <w:rFonts w:ascii="Arial Narrow" w:cs="Arial Narrow" w:eastAsia="Arial Narrow" w:hAnsi="Arial Narrow"/>
          <w:sz w:val="22"/>
          <w:szCs w:val="22"/>
        </w:rPr>
        <w:t xml:space="preserve">The verification assessed the marking and identification of assets across the participating institutions. Of the assets verified, 50,329 (22.0%) had UgIFT marking while 178,695 (78.0%) were not engraved, and 22,253 assets (9.7%) had identifiers containing UgIFT markings. Identification varied at the different asset locations, with identifiers recorded for 30.3% of MDA records, 24.5% of school records and 15.0% of health-centre records. Some assets had no UgIFT marking but the officers on ground identified them as UgIFT assets, while vehicles and motorcycles were identified by their registration numbers. Taken together, these means of identification supported the attribution of assets to the programme during the exercise.</w:t>
      </w:r>
    </w:p>
    <w:p>
      <w:pPr>
        <w:spacing w:after="80" w:before="160"/>
      </w:pPr>
      <w:r>
        <w:rPr>
          <w:rFonts w:ascii="Arial Narrow" w:cs="Arial Narrow" w:eastAsia="Arial Narrow" w:hAnsi="Arial Narrow"/>
          <w:b/>
          <w:bCs/>
          <w:sz w:val="24"/>
          <w:szCs w:val="24"/>
        </w:rPr>
        <w:t xml:space="preserve">Financial values</w:t>
      </w:r>
    </w:p>
    <w:p>
      <w:pPr>
        <w:spacing w:after="120" w:line="264"/>
        <w:jc w:val="both"/>
      </w:pPr>
      <w:r>
        <w:rPr>
          <w:rFonts w:ascii="Arial Narrow" w:cs="Arial Narrow" w:eastAsia="Arial Narrow" w:hAnsi="Arial Narrow"/>
          <w:sz w:val="22"/>
          <w:szCs w:val="22"/>
        </w:rPr>
        <w:t xml:space="preserve">The verified assets had an available recorded value of UGX 996,812,628,890, with available accumulated depreciation of UGX 165,185,197,307 and an available net book value of UGX 595,801,587,531 as at 30th September 2026. These values were determined in accordance with the Government of Uganda Asset Accounting Policies and Guidelines 2023, with straight-line depreciation applied where the required information was available, so each total reflects the records for which that value could be determined. Seed Secondary Schools accounted for the largest share of the recorded value at UGX 700,242,561,371, followed by Health Centres at UGX 260,692,452,291, MDAs at UGX 32,054,743,836 and the regional Blood Banks at UGX 1,503,720,926. These figures provide a sound financial basis for programme closure reporting and for the transfer of the assets onto government asset registers.</w:t>
      </w:r>
    </w:p>
    <w:p>
      <w:pPr>
        <w:spacing w:after="80" w:before="160"/>
      </w:pPr>
      <w:r>
        <w:rPr>
          <w:rFonts w:ascii="Arial Narrow" w:cs="Arial Narrow" w:eastAsia="Arial Narrow" w:hAnsi="Arial Narrow"/>
          <w:b/>
          <w:bCs/>
          <w:sz w:val="24"/>
          <w:szCs w:val="24"/>
        </w:rPr>
        <w:t xml:space="preserve">Asset management</w:t>
      </w:r>
    </w:p>
    <w:p>
      <w:pPr>
        <w:spacing w:after="120" w:line="264"/>
        <w:jc w:val="both"/>
      </w:pPr>
      <w:r>
        <w:rPr>
          <w:rFonts w:ascii="Arial Narrow" w:cs="Arial Narrow" w:eastAsia="Arial Narrow" w:hAnsi="Arial Narrow"/>
          <w:sz w:val="22"/>
          <w:szCs w:val="22"/>
        </w:rPr>
        <w:t xml:space="preserve">The verification assessed the arrangements in place for maintaining and managing UgIFT assets. All MDAs reported using own funds for maintenance and repairs. At local government level, 260 facilities (55.4%) met repairs at facility level, drawing on Primary Health Care funds for Health Centres and the capitation or Universal Secondary Education grant for schools, while 152 facilities (32.4%) relied on external support, including district or higher-level facilities, hired technicians and artisans, and contractors or suppliers under defects liability, guarantee or warranty. In addition, 13.7% (68) of the facilities kept track of the asset condition/lifecycle, and 354 of the 629 facilities (56.3%) had asset records. Obsolete assets and faulty equipment remained at the facilities pending the issuance of UgIFT asset planning and disposal guidelines.</w:t>
      </w:r>
    </w:p>
    <w:p>
      <w:pPr>
        <w:spacing w:after="80" w:before="160"/>
      </w:pPr>
      <w:r>
        <w:rPr>
          <w:rFonts w:ascii="Arial Narrow" w:cs="Arial Narrow" w:eastAsia="Arial Narrow" w:hAnsi="Arial Narrow"/>
          <w:b/>
          <w:bCs/>
          <w:sz w:val="24"/>
          <w:szCs w:val="24"/>
        </w:rPr>
        <w:t xml:space="preserve">Reconciliations</w:t>
      </w:r>
    </w:p>
    <w:p>
      <w:pPr>
        <w:spacing w:after="120" w:line="264"/>
        <w:jc w:val="both"/>
      </w:pPr>
      <w:r>
        <w:rPr>
          <w:rFonts w:ascii="Arial Narrow" w:cs="Arial Narrow" w:eastAsia="Arial Narrow" w:hAnsi="Arial Narrow"/>
          <w:sz w:val="22"/>
          <w:szCs w:val="22"/>
        </w:rPr>
        <w:t xml:space="preserve">The verification exercise established that there were mismatches between information from the programme list and what was found on the ground. Of the 629 programme-list entries, 606 (96.3%) had supporting returns while 23 (3.7%) had discrepancies requiring reconciliation. Of these 23 entries, 10 related to facilities on the programme list but not on ground, 3 to facilities that were not UgIFT beneficiaries, 5 to facilities that existed with no UgIFT assets, 3 to facilities whose UgIFT assets had been relocated to another facility, and 2 to facilities represented by another name. Each case was examined and documented during the verification exercise, and the reconciliation confirmed the final facility coverage used for reporting.</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Narrow" w:cs="Arial Narrow" w:eastAsia="Arial Narrow" w:hAnsi="Arial Narrow"/>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2026-10-12T08:28:19.371Z</dcterms:created>
  <dcterms:modified xsi:type="dcterms:W3CDTF">2026-10-12T08:28:19.373Z</dcterms:modified>
</cp:coreProperties>
</file>

<file path=docProps/custom.xml><?xml version="1.0" encoding="utf-8"?>
<Properties xmlns="http://schemas.openxmlformats.org/officeDocument/2006/custom-properties" xmlns:vt="http://schemas.openxmlformats.org/officeDocument/2006/docPropsVTypes"/>
</file>