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Alerek Seed Secondary School - facility report</w:t>
      </w:r>
    </w:p>
    <w:p>
      <w:pPr>
        <w:pStyle w:val="Heading1"/>
      </w:pPr>
      <w:r>
        <w:t>1. Identification</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i w:val="0"/>
              </w:rPr>
              <w:t>Facility</w:t>
            </w:r>
          </w:p>
        </w:tc>
        <w:tc>
          <w:tcPr>
            <w:tcW w:type="dxa" w:w="4320"/>
          </w:tcPr>
          <w:p>
            <w:r>
              <w:rPr>
                <w:b/>
              </w:rPr>
            </w:r>
            <w:r>
              <w:rPr>
                <w:b/>
                <w:i w:val="0"/>
              </w:rPr>
              <w:t>Alerek Seed Secondary School</w:t>
            </w:r>
          </w:p>
        </w:tc>
      </w:tr>
      <w:tr>
        <w:tc>
          <w:tcPr>
            <w:tcW w:type="dxa" w:w="4320"/>
          </w:tcPr>
          <w:p>
            <w:r/>
            <w:r>
              <w:rPr>
                <w:b w:val="0"/>
                <w:i w:val="0"/>
              </w:rPr>
              <w:t>Named on the programme list</w:t>
            </w:r>
          </w:p>
        </w:tc>
        <w:tc>
          <w:tcPr>
            <w:tcW w:type="dxa" w:w="4320"/>
          </w:tcPr>
          <w:p>
            <w:r/>
            <w:r>
              <w:rPr>
                <w:b w:val="0"/>
                <w:i w:val="0"/>
              </w:rPr>
              <w:t>Alerek</w:t>
            </w:r>
          </w:p>
        </w:tc>
      </w:tr>
      <w:tr>
        <w:tc>
          <w:tcPr>
            <w:tcW w:type="dxa" w:w="4320"/>
          </w:tcPr>
          <w:p>
            <w:r/>
            <w:r>
              <w:rPr>
                <w:b w:val="0"/>
                <w:i w:val="0"/>
              </w:rPr>
              <w:t>Type</w:t>
            </w:r>
          </w:p>
        </w:tc>
        <w:tc>
          <w:tcPr>
            <w:tcW w:type="dxa" w:w="4320"/>
          </w:tcPr>
          <w:p>
            <w:r/>
            <w:r>
              <w:rPr>
                <w:b w:val="0"/>
                <w:i w:val="0"/>
              </w:rPr>
              <w:t>School</w:t>
            </w:r>
          </w:p>
        </w:tc>
      </w:tr>
      <w:tr>
        <w:tc>
          <w:tcPr>
            <w:tcW w:type="dxa" w:w="4320"/>
          </w:tcPr>
          <w:p>
            <w:r/>
            <w:r>
              <w:rPr>
                <w:b w:val="0"/>
                <w:i w:val="0"/>
              </w:rPr>
              <w:t>Local government</w:t>
            </w:r>
          </w:p>
        </w:tc>
        <w:tc>
          <w:tcPr>
            <w:tcW w:type="dxa" w:w="4320"/>
          </w:tcPr>
          <w:p>
            <w:r/>
            <w:r>
              <w:rPr>
                <w:b w:val="0"/>
                <w:i w:val="0"/>
              </w:rPr>
              <w:t>Abim District</w:t>
            </w:r>
          </w:p>
        </w:tc>
      </w:tr>
      <w:tr>
        <w:tc>
          <w:tcPr>
            <w:tcW w:type="dxa" w:w="4320"/>
          </w:tcPr>
          <w:p>
            <w:r/>
            <w:r>
              <w:rPr>
                <w:b w:val="0"/>
                <w:i w:val="0"/>
              </w:rPr>
              <w:t>Region / sub-region</w:t>
            </w:r>
          </w:p>
        </w:tc>
        <w:tc>
          <w:tcPr>
            <w:tcW w:type="dxa" w:w="4320"/>
          </w:tcPr>
          <w:p>
            <w:r/>
            <w:r>
              <w:rPr>
                <w:b w:val="0"/>
                <w:i w:val="0"/>
              </w:rPr>
              <w:t>Karamoja / Karamoja</w:t>
            </w:r>
          </w:p>
        </w:tc>
      </w:tr>
      <w:tr>
        <w:tc>
          <w:tcPr>
            <w:tcW w:type="dxa" w:w="4320"/>
          </w:tcPr>
          <w:p>
            <w:r/>
            <w:r>
              <w:rPr>
                <w:b w:val="0"/>
                <w:i w:val="0"/>
              </w:rPr>
              <w:t>Date of visit</w:t>
            </w:r>
          </w:p>
        </w:tc>
        <w:tc>
          <w:tcPr>
            <w:tcW w:type="dxa" w:w="4320"/>
          </w:tcPr>
          <w:p>
            <w:r/>
            <w:r>
              <w:rPr>
                <w:b w:val="0"/>
                <w:i w:val="0"/>
              </w:rPr>
              <w:t>2026-08-25</w:t>
            </w:r>
          </w:p>
        </w:tc>
      </w:tr>
      <w:tr>
        <w:tc>
          <w:tcPr>
            <w:tcW w:type="dxa" w:w="4320"/>
          </w:tcPr>
          <w:p>
            <w:r/>
            <w:r>
              <w:rPr>
                <w:b w:val="0"/>
                <w:i w:val="0"/>
              </w:rPr>
              <w:t>Team members present</w:t>
            </w:r>
          </w:p>
        </w:tc>
        <w:tc>
          <w:tcPr>
            <w:tcW w:type="dxa" w:w="4320"/>
          </w:tcPr>
          <w:p>
            <w:r/>
            <w:r>
              <w:rPr>
                <w:b w:val="0"/>
                <w:i w:val="0"/>
              </w:rPr>
              <w:t>Mworozi Davis and Nalukwata Shadia, who both signed in</w:t>
            </w:r>
          </w:p>
        </w:tc>
      </w:tr>
      <w:tr>
        <w:tc>
          <w:tcPr>
            <w:tcW w:type="dxa" w:w="4320"/>
          </w:tcPr>
          <w:p>
            <w:r/>
            <w:r>
              <w:rPr>
                <w:b w:val="0"/>
                <w:i w:val="0"/>
              </w:rPr>
              <w:t>Informant interviewed</w:t>
            </w:r>
          </w:p>
        </w:tc>
        <w:tc>
          <w:tcPr>
            <w:tcW w:type="dxa" w:w="4320"/>
          </w:tcPr>
          <w:p>
            <w:r/>
            <w:r>
              <w:rPr>
                <w:b w:val="0"/>
                <w:i w:val="0"/>
              </w:rPr>
              <w:t>The head teacher, who is not named on the sheets</w:t>
            </w:r>
          </w:p>
        </w:tc>
      </w:tr>
      <w:tr>
        <w:tc>
          <w:tcPr>
            <w:tcW w:type="dxa" w:w="4320"/>
          </w:tcPr>
          <w:p>
            <w:r/>
            <w:r>
              <w:rPr>
                <w:b w:val="0"/>
                <w:i w:val="0"/>
              </w:rPr>
              <w:t>Supervisor</w:t>
            </w:r>
          </w:p>
        </w:tc>
        <w:tc>
          <w:tcPr>
            <w:tcW w:type="dxa" w:w="4320"/>
          </w:tcPr>
          <w:p>
            <w:r/>
            <w:r>
              <w:rPr>
                <w:b w:val="0"/>
                <w:i w:val="0"/>
              </w:rPr>
              <w:t>Kassim Luminsa</w:t>
            </w:r>
          </w:p>
        </w:tc>
      </w:tr>
    </w:tbl>
    <w:p/>
    <w:p>
      <w:pPr>
        <w:pStyle w:val="Heading1"/>
      </w:pPr>
      <w:r>
        <w:t>2. Entry</w:t>
      </w:r>
    </w:p>
    <w:p>
      <w:r>
        <w:rPr>
          <w:b w:val="0"/>
          <w:i w:val="0"/>
        </w:rPr>
        <w:t>Both members signed the school's visitors' register on 25 August and each wrote UgIFT verification against the entry. Nobody was turned away and no permission was needed beyond the head teacher's own.</w:t>
      </w:r>
    </w:p>
    <w:p>
      <w:pPr>
        <w:pStyle w:val="Heading1"/>
      </w:pPr>
      <w:r>
        <w:t>3. Condition and status</w:t>
      </w:r>
    </w:p>
    <w:p>
      <w:r>
        <w:rPr>
          <w:b w:val="0"/>
          <w:i w:val="0"/>
        </w:rPr>
        <w:t>Ownership, functionality, usage and location. Only what the day itself settled is written below; whatever it left open reads not reported, and nothing is borrowed from another source to close it.</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i w:val="0"/>
              </w:rPr>
              <w:t>Dimension</w:t>
            </w:r>
          </w:p>
        </w:tc>
        <w:tc>
          <w:tcPr>
            <w:tcW w:type="dxa" w:w="4320"/>
          </w:tcPr>
          <w:p>
            <w:r>
              <w:rPr>
                <w:b/>
              </w:rPr>
            </w:r>
            <w:r>
              <w:rPr>
                <w:b/>
                <w:i w:val="0"/>
              </w:rPr>
              <w:t>What was established on site</w:t>
            </w:r>
          </w:p>
        </w:tc>
      </w:tr>
      <w:tr>
        <w:tc>
          <w:tcPr>
            <w:tcW w:type="dxa" w:w="4320"/>
          </w:tcPr>
          <w:p>
            <w:r/>
            <w:r>
              <w:rPr>
                <w:b w:val="0"/>
                <w:i w:val="0"/>
              </w:rPr>
              <w:t>Ownership</w:t>
            </w:r>
          </w:p>
        </w:tc>
        <w:tc>
          <w:tcPr>
            <w:tcW w:type="dxa" w:w="4320"/>
          </w:tcPr>
          <w:p>
            <w:r/>
            <w:r>
              <w:rPr>
                <w:b w:val="0"/>
                <w:i w:val="0"/>
              </w:rPr>
              <w:t>Not reported. No title, no ownership document and no statement of ownership was seen, and the register asks for none.</w:t>
            </w:r>
          </w:p>
        </w:tc>
      </w:tr>
      <w:tr>
        <w:tc>
          <w:tcPr>
            <w:tcW w:type="dxa" w:w="4320"/>
          </w:tcPr>
          <w:p>
            <w:r/>
            <w:r>
              <w:rPr>
                <w:b w:val="0"/>
                <w:i w:val="0"/>
              </w:rPr>
              <w:t>Functionality</w:t>
            </w:r>
          </w:p>
        </w:tc>
        <w:tc>
          <w:tcPr>
            <w:tcW w:type="dxa" w:w="4320"/>
          </w:tcPr>
          <w:p>
            <w:r/>
            <w:r>
              <w:rPr>
                <w:b w:val="0"/>
                <w:i w:val="0"/>
              </w:rPr>
              <w:t>Settled line by line. Every line of all three schedules carries a status: the desks and the office chairs read good, five of the eleven ICT lines read good and the other six read still packed, and the 360 laboratory stools read not yet assembled. The buildings sheet carries seven statuses of good against its eight lines.</w:t>
            </w:r>
          </w:p>
        </w:tc>
      </w:tr>
      <w:tr>
        <w:tc>
          <w:tcPr>
            <w:tcW w:type="dxa" w:w="4320"/>
          </w:tcPr>
          <w:p>
            <w:r/>
            <w:r>
              <w:rPr>
                <w:b w:val="0"/>
                <w:i w:val="0"/>
              </w:rPr>
              <w:t>Usage / performance</w:t>
            </w:r>
          </w:p>
        </w:tc>
        <w:tc>
          <w:tcPr>
            <w:tcW w:type="dxa" w:w="4320"/>
          </w:tcPr>
          <w:p>
            <w:r/>
            <w:r>
              <w:rPr>
                <w:b w:val="0"/>
                <w:i w:val="0"/>
              </w:rPr>
              <w:t>Settled in part. The head teacher answered that the support has brought education to Alerek, work for teachers and a market for the community's food. Against that the ICT is wholly unused: the school has no power, nothing has been connected and no technician has come.</w:t>
            </w:r>
          </w:p>
        </w:tc>
      </w:tr>
      <w:tr>
        <w:tc>
          <w:tcPr>
            <w:tcW w:type="dxa" w:w="4320"/>
          </w:tcPr>
          <w:p>
            <w:r/>
            <w:r>
              <w:rPr>
                <w:b w:val="0"/>
                <w:i w:val="0"/>
              </w:rPr>
              <w:t>Location</w:t>
            </w:r>
          </w:p>
        </w:tc>
        <w:tc>
          <w:tcPr>
            <w:tcW w:type="dxa" w:w="4320"/>
          </w:tcPr>
          <w:p>
            <w:r/>
            <w:r>
              <w:rPr>
                <w:b w:val="0"/>
                <w:i w:val="0"/>
              </w:rPr>
              <w:t>Settled to the school and no further. The unassembled furniture and the boxed ICT stand in the school store, and no room or block is written against any other line.</w:t>
            </w:r>
          </w:p>
        </w:tc>
      </w:tr>
    </w:tbl>
    <w:p/>
    <w:p>
      <w:pPr>
        <w:pStyle w:val="Heading1"/>
      </w:pPr>
      <w:r>
        <w:t>4. Supplied against found</w:t>
      </w:r>
    </w:p>
    <w:p>
      <w:r>
        <w:rPr>
          <w:b w:val="0"/>
          <w:i w:val="0"/>
        </w:rPr>
        <w:t>Two supply records for this school are on file and both were obtained on the day.</w:t>
      </w:r>
    </w:p>
    <w:p>
      <w:r>
        <w:rPr>
          <w:b w:val="0"/>
          <w:i w:val="0"/>
        </w:rPr>
        <w:t>The district Inventory Management Unit's transfer note of 5 March 2026 moves the ICT from the Abim General Hospital stores to the school over eleven lines. The register counts the same eleven items in the same order and all eleven agree. One difference runs through the whole comparison and it is not an arithmetic one: the note counts boxes and pieces where the register counts items, so 20 boxes of keyboards stand against 20 keyboards and nothing on file says what a box holds.</w:t>
      </w:r>
    </w:p>
    <w:p>
      <w:r>
        <w:rPr>
          <w:b w:val="0"/>
          <w:i w:val="0"/>
        </w:rPr>
        <w:t>The supplier's delivery and packing list of 10 April 2025 covers the science laboratory over thirteen boxes of chemicals, glassware and apparatus, with a quantity against every item. Its verify column is empty on every line and the register carries no laboratory line but the stools, so there the supplied side is complete and the found side is bare.</w:t>
      </w:r>
    </w:p>
    <w:p>
      <w:r>
        <w:rPr>
          <w:b w:val="0"/>
          <w:i w:val="0"/>
        </w:rPr>
        <w:t>Nothing on file says what furniture was supplied. The register counts 120 desks and 360 laboratory stools and gives the office chairs no count.</w:t>
      </w:r>
    </w:p>
    <w:p>
      <w:pPr>
        <w:pStyle w:val="Heading1"/>
      </w:pPr>
      <w:r>
        <w:t>5. Engraving and identification</w:t>
      </w:r>
    </w:p>
    <w:p>
      <w:r>
        <w:rPr>
          <w:b w:val="0"/>
          <w:i w:val="0"/>
        </w:rPr>
        <w:t>Nothing at this school carries an engraved number. The furniture lines and the water tanks read Not yet against the tag number and every ICT and buildings line reads not applicable, which is what the head teacher reported: the contractor engraved nothing at all. No serial number was taken either, the computers being connected in a way that puts their serial plates out of reach.</w:t>
      </w:r>
    </w:p>
    <w:p>
      <w:pPr>
        <w:pStyle w:val="Heading1"/>
      </w:pPr>
      <w:r>
        <w:t>6. Obsolete, unserviceable or for disposal</w:t>
      </w:r>
    </w:p>
    <w:p>
      <w:r>
        <w:rPr>
          <w:b w:val="0"/>
          <w:i w:val="0"/>
        </w:rPr>
        <w:t>Nothing is listed for disposal. Two things are less than whole and neither was counted. Test tubes broke and were replaced with plastic bottles, which is not what the school was supplied against. Tables, chairs and the 360 laboratory stools were delivered and never assembled, and stand stacked in a store.</w:t>
      </w:r>
    </w:p>
    <w:p>
      <w:pPr>
        <w:pStyle w:val="Heading1"/>
      </w:pPr>
      <w:r>
        <w:t>7. Operation and maintenance</w:t>
      </w:r>
    </w:p>
    <w:p>
      <w:r>
        <w:rPr>
          <w:b w:val="0"/>
          <w:i w:val="0"/>
        </w:rPr>
        <w:t>What the head teacher told the team:</w:t>
      </w:r>
    </w:p>
    <w:p>
      <w:pPr>
        <w:pStyle w:val="ListBullet"/>
      </w:pPr>
      <w:r>
        <w:rPr>
          <w:b w:val="0"/>
          <w:i w:val="0"/>
        </w:rPr>
        <w:t>Repairs are budgeted for and the budget is put to the contractor, because the school has not been commissioned officially.</w:t>
      </w:r>
    </w:p>
    <w:p>
      <w:pPr>
        <w:pStyle w:val="ListBullet"/>
      </w:pPr>
      <w:r>
        <w:rPr>
          <w:b w:val="0"/>
          <w:i w:val="0"/>
        </w:rPr>
        <w:t>Breakages are put to the contractor in writing, and taps and desks broke before the school opened.</w:t>
      </w:r>
    </w:p>
    <w:p>
      <w:pPr>
        <w:pStyle w:val="ListBullet"/>
      </w:pPr>
      <w:r>
        <w:rPr>
          <w:b w:val="0"/>
          <w:i w:val="0"/>
        </w:rPr>
        <w:t>The ICT is boxed for want of power. Holes for the electric poles have been dug and the poles were said to be a week away.</w:t>
      </w:r>
    </w:p>
    <w:p>
      <w:pPr>
        <w:pStyle w:val="ListBullet"/>
      </w:pPr>
      <w:r>
        <w:rPr>
          <w:b w:val="0"/>
          <w:i w:val="0"/>
        </w:rPr>
        <w:t>No technical team has come to connect and set up the remaining ICT.</w:t>
      </w:r>
    </w:p>
    <w:p>
      <w:pPr>
        <w:pStyle w:val="ListBullet"/>
      </w:pPr>
      <w:r>
        <w:rPr>
          <w:b w:val="0"/>
          <w:i w:val="0"/>
        </w:rPr>
        <w:t>The bill of quantities has never been given to the head teacher and the contractor has not handed the project over.</w:t>
      </w:r>
    </w:p>
    <w:p>
      <w:pPr>
        <w:pStyle w:val="ListBullet"/>
      </w:pPr>
      <w:r>
        <w:rPr>
          <w:b w:val="0"/>
          <w:i w:val="0"/>
        </w:rPr>
        <w:t>The school holds no fire extinguisher.</w:t>
      </w:r>
    </w:p>
    <w:p>
      <w:pPr>
        <w:pStyle w:val="Heading1"/>
      </w:pPr>
      <w:r>
        <w:t>8. Queries</w:t>
      </w:r>
    </w:p>
    <w:p>
      <w:pPr>
        <w:pStyle w:val="ListBullet"/>
      </w:pPr>
      <w:r>
        <w:rPr>
          <w:b w:val="0"/>
          <w:i w:val="0"/>
        </w:rPr>
        <w:t>No line of the three schedules carries an asset number, the printed heading of that column having been struck through and a count written above it.</w:t>
      </w:r>
    </w:p>
    <w:p>
      <w:pPr>
        <w:pStyle w:val="ListBullet"/>
      </w:pPr>
      <w:r>
        <w:rPr>
          <w:b w:val="0"/>
          <w:i w:val="0"/>
        </w:rPr>
        <w:t>The cover block of the register is not on the copy on file, so its particulars and its date of submission are unfilled.</w:t>
      </w:r>
    </w:p>
    <w:p>
      <w:pPr>
        <w:pStyle w:val="ListBullet"/>
      </w:pPr>
      <w:r>
        <w:rPr>
          <w:b w:val="0"/>
          <w:i w:val="0"/>
        </w:rPr>
        <w:t>The buildings sheet carries seven dates and seven statuses against eight lines, and the day against the first ICT line reads as either the 23rd or the 25th of September 2025.</w:t>
      </w:r>
    </w:p>
    <w:p>
      <w:pPr>
        <w:pStyle w:val="ListBullet"/>
      </w:pPr>
      <w:r>
        <w:rPr>
          <w:b w:val="0"/>
          <w:i w:val="0"/>
        </w:rPr>
        <w:t>The transfer note counts boxes where the register counts items, so what a box holds is unsettled on every ICT line.</w:t>
      </w:r>
    </w:p>
    <w:p>
      <w:pPr>
        <w:pStyle w:val="ListBullet"/>
      </w:pPr>
      <w:r>
        <w:rPr>
          <w:b w:val="0"/>
          <w:i w:val="0"/>
        </w:rPr>
        <w:t>Nothing here is engraved and no serial number was read, the computers being connected so that their plates cannot be reached.</w:t>
      </w:r>
    </w:p>
    <w:p>
      <w:pPr>
        <w:pStyle w:val="ListBullet"/>
      </w:pPr>
      <w:r>
        <w:rPr>
          <w:b w:val="0"/>
          <w:i w:val="0"/>
        </w:rPr>
        <w:t>The bill of quantities has never reached the head teacher and the contractor has not handed the project over.</w:t>
      </w:r>
    </w:p>
    <w:p>
      <w:pPr>
        <w:pStyle w:val="ListBullet"/>
      </w:pPr>
      <w:r>
        <w:rPr>
          <w:b w:val="0"/>
          <w:i w:val="0"/>
        </w:rPr>
        <w:t>The furniture stands unassembled in a store and has not been counted since it was delivered.</w:t>
      </w:r>
    </w:p>
    <w:p>
      <w:pPr>
        <w:pStyle w:val="ListBullet"/>
      </w:pPr>
      <w:r>
        <w:rPr>
          <w:b w:val="0"/>
          <w:i w:val="0"/>
        </w:rPr>
        <w:t>The broken test tubes were replaced with plastic bottles, which meet no specification the school was supplied against.</w:t>
      </w:r>
    </w:p>
    <w:p>
      <w:pPr>
        <w:pStyle w:val="ListBullet"/>
      </w:pPr>
      <w:r>
        <w:rPr>
          <w:b w:val="0"/>
          <w:i w:val="0"/>
        </w:rPr>
        <w:t>The ICT is boxed for want of power, and the connection date and the officer who is to commission it are both unfixed.</w:t>
      </w:r>
    </w:p>
    <w:p>
      <w:pPr>
        <w:pStyle w:val="ListBullet"/>
      </w:pPr>
      <w:r>
        <w:rPr>
          <w:b w:val="0"/>
          <w:i w:val="0"/>
        </w:rPr>
        <w:t>The verify column of the science laboratory list is empty on all thirteen of its boxes.</w:t>
      </w:r>
    </w:p>
    <w:p>
      <w:pPr>
        <w:pStyle w:val="ListBullet"/>
      </w:pPr>
      <w:r>
        <w:rPr>
          <w:b w:val="0"/>
          <w:i w:val="0"/>
        </w:rPr>
        <w:t>The school holds no fire extinguisher, which is a fire safety gap and not only a missing asset.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