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Abim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Abim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Abim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Alerek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They have records of all items but no costs.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normally make a budget allocation for the repair and present it to the contractor, because the school hasn't been commissioned officially.</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We always make clear reporting and documentation to the contractor about functionality, for example breakage of taps and desks before opening of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UgIFT has been beneficial to people of Alerek through providing education. Provision of employment opportunities to teachers. They buy food from community. In all it has improved social-economic status of Alerek people.</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Alerek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 (120, three seaters)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School furniture</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 for schools to sit</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School furniture</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 for office use</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(360)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School furniture</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yet assembled stools which we sat on in the laboratory. Black stools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yet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2025-06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yet assembled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Alerek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Key board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 for typing</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 top computer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 HP desktop.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New work cables (4)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 U-Infinity.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Auto Clean Tubo cleaning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cables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screen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 for study purposes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Assorted materials (1)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working condition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Nuha PBC trunking 100x50 (11)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unpacked</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Atel Flow PBC trunking F/TIKIU (3)</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ICT</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applicable</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2025-09-23</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Still packed (good)</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Alerek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for the 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rooms (6)</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for students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Computer lab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for students learning ICT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Teachers rooms (6)</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teachers sleep near the school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and well equipped with chemicals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toilets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Students toilets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applicable</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For water supply in school. Crestank.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is not on the copy on file. Verifier contact is blank because none is on the record, and the date of submission is left blank until a person submits it.</w:t>
      </w:r>
    </w:p>
    <w:p>
      <w:r>
        <w:t>- No line on any of the three schedules carries an asset number. The printed heading of that column is struck through and no. of items written above it, so what stands in the column is a count and it is carried against the item name instead.</w:t>
      </w:r>
    </w:p>
    <w:p>
      <w:r>
        <w:t>- No tag number is carried anywhere. The furniture and the water tanks read Not yet and every ICT and buildings line reads not applicable, the contractor having engraved nothing.</w:t>
      </w:r>
    </w:p>
    <w:p>
      <w:r>
        <w:t>- No serial number is recorded against any ICT line. The computers are connected in a way that puts their serial plates out of reach.</w:t>
      </w:r>
    </w:p>
    <w:p>
      <w:r>
        <w:t>- The office chairs line carries no count.</w:t>
      </w:r>
    </w:p>
    <w:p>
      <w:r>
        <w:t>- The day written against the first ICT line reads as either the 23rd or the 25th of September 2025 and is left blank for that reason. The other ten lines read 23 September 2025.</w:t>
      </w:r>
    </w:p>
    <w:p>
      <w:r>
        <w:t>- The buildings schedule carries seven dates of 2022 and seven statuses of good against its eight lines, so no line can be given either with confidence. Send that sheet in one frame.</w:t>
      </w:r>
    </w:p>
    <w:p>
      <w:r>
        <w:t>- No life in months, no date of purchase and no cost or depreciation figure is on any line. Abim district holds no asset register of its own.</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