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Sidok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Sidok Seed Secondary School</w:t>
            </w:r>
          </w:p>
        </w:tc>
      </w:tr>
      <w:tr>
        <w:tc>
          <w:tcPr>
            <w:tcW w:type="dxa" w:w="4320"/>
          </w:tcPr>
          <w:p>
            <w:r/>
            <w:r>
              <w:rPr>
                <w:b w:val="0"/>
                <w:i w:val="0"/>
              </w:rPr>
              <w:t>Named on the programme list</w:t>
            </w:r>
          </w:p>
        </w:tc>
        <w:tc>
          <w:tcPr>
            <w:tcW w:type="dxa" w:w="4320"/>
          </w:tcPr>
          <w:p>
            <w:r/>
            <w:r>
              <w:rPr>
                <w:b w:val="0"/>
                <w:i w:val="0"/>
              </w:rPr>
              <w:t>Sidok</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Kaabong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Date of visit</w:t>
            </w:r>
          </w:p>
        </w:tc>
        <w:tc>
          <w:tcPr>
            <w:tcW w:type="dxa" w:w="4320"/>
          </w:tcPr>
          <w:p>
            <w:r/>
            <w:r>
              <w:rPr>
                <w:b w:val="0"/>
                <w:i w:val="0"/>
              </w:rPr>
              <w:t>2026-08-27</w:t>
            </w:r>
          </w:p>
        </w:tc>
      </w:tr>
      <w:tr>
        <w:tc>
          <w:tcPr>
            <w:tcW w:type="dxa" w:w="4320"/>
          </w:tcPr>
          <w:p>
            <w:r/>
            <w:r>
              <w:rPr>
                <w:b w:val="0"/>
                <w:i w:val="0"/>
              </w:rPr>
              <w:t>Team members present</w:t>
            </w:r>
          </w:p>
        </w:tc>
        <w:tc>
          <w:tcPr>
            <w:tcW w:type="dxa" w:w="4320"/>
          </w:tcPr>
          <w:p>
            <w:r/>
            <w:r>
              <w:rPr>
                <w:b w:val="0"/>
                <w:i w:val="0"/>
              </w:rPr>
              <w:t>Mworozi Davis and Nalukwata Shadia</w:t>
            </w:r>
          </w:p>
        </w:tc>
      </w:tr>
      <w:tr>
        <w:tc>
          <w:tcPr>
            <w:tcW w:type="dxa" w:w="4320"/>
          </w:tcPr>
          <w:p>
            <w:r/>
            <w:r>
              <w:rPr>
                <w:b w:val="0"/>
                <w:i w:val="0"/>
              </w:rPr>
              <w:t>Informant interviewed</w:t>
            </w:r>
          </w:p>
        </w:tc>
        <w:tc>
          <w:tcPr>
            <w:tcW w:type="dxa" w:w="4320"/>
          </w:tcPr>
          <w:p>
            <w:r/>
            <w:r>
              <w:rPr>
                <w:b w:val="0"/>
                <w:i w:val="0"/>
              </w:rPr>
              <w:t>Nobody is named, and the discussion guide was left blank</w:t>
            </w:r>
          </w:p>
        </w:tc>
      </w:tr>
      <w:tr>
        <w:tc>
          <w:tcPr>
            <w:tcW w:type="dxa" w:w="4320"/>
          </w:tcPr>
          <w:p>
            <w:r/>
            <w:r>
              <w:rPr>
                <w:b w:val="0"/>
                <w:i w:val="0"/>
              </w:rPr>
              <w:t>Supervisor</w:t>
            </w:r>
          </w:p>
        </w:tc>
        <w:tc>
          <w:tcPr>
            <w:tcW w:type="dxa" w:w="4320"/>
          </w:tcPr>
          <w:p>
            <w:r/>
            <w:r>
              <w:rPr>
                <w:b w:val="0"/>
                <w:i w:val="0"/>
              </w:rPr>
              <w:t>Kassim Luminsa</w:t>
            </w:r>
          </w:p>
        </w:tc>
      </w:tr>
    </w:tbl>
    <w:p/>
    <w:p>
      <w:pPr>
        <w:pStyle w:val="Heading1"/>
      </w:pPr>
      <w:r>
        <w:t>2. Entry</w:t>
      </w:r>
    </w:p>
    <w:p>
      <w:r>
        <w:rPr>
          <w:b w:val="0"/>
          <w:i w:val="0"/>
        </w:rPr>
        <w:t>No visitors' register was photographed here, so nothing on file shows the school signed the team in. No access problem was reported: the site is open ground and the contractor is still on it.</w:t>
      </w:r>
    </w:p>
    <w:p>
      <w:pPr>
        <w:pStyle w:val="Heading1"/>
      </w:pPr>
      <w:r>
        <w:t>3. Condition and status</w:t>
      </w:r>
    </w:p>
    <w:p>
      <w:r>
        <w:rPr>
          <w:b w:val="0"/>
          <w:i w:val="0"/>
        </w:rPr>
        <w:t>Ownership, functionality, usage and location. Only what the day itself settled is written below; whatever it left open reads not reported, and nothing is borrowed from another source to close it.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title and no ownership document was seen, and the works have not been handed over.</w:t>
            </w:r>
          </w:p>
        </w:tc>
      </w:tr>
      <w:tr>
        <w:tc>
          <w:tcPr>
            <w:tcW w:type="dxa" w:w="4320"/>
          </w:tcPr>
          <w:p>
            <w:r/>
            <w:r>
              <w:rPr>
                <w:b w:val="0"/>
                <w:i w:val="0"/>
              </w:rPr>
              <w:t>Functionality</w:t>
            </w:r>
          </w:p>
        </w:tc>
        <w:tc>
          <w:tcPr>
            <w:tcW w:type="dxa" w:w="4320"/>
          </w:tcPr>
          <w:p>
            <w:r/>
            <w:r>
              <w:rPr>
                <w:b w:val="0"/>
                <w:i w:val="0"/>
              </w:rPr>
              <w:t>Settled for the buildings only, and there it comes to one word. The register calls the non-residential block, the residential block, the kitchen and the toilets still under construction, records the water tank as a black tank of 10,000 litres and the fence as secure, and carries no other line. Not one box of ICT was opened, so nothing electrical was tried.</w:t>
            </w:r>
          </w:p>
        </w:tc>
      </w:tr>
      <w:tr>
        <w:tc>
          <w:tcPr>
            <w:tcW w:type="dxa" w:w="4320"/>
          </w:tcPr>
          <w:p>
            <w:r/>
            <w:r>
              <w:rPr>
                <w:b w:val="0"/>
                <w:i w:val="0"/>
              </w:rPr>
              <w:t>Usage / performance</w:t>
            </w:r>
          </w:p>
        </w:tc>
        <w:tc>
          <w:tcPr>
            <w:tcW w:type="dxa" w:w="4320"/>
          </w:tcPr>
          <w:p>
            <w:r/>
            <w:r>
              <w:rPr>
                <w:b w:val="0"/>
                <w:i w:val="0"/>
              </w:rPr>
              <w:t>Not reported. The school is not open and nothing at it is in use.</w:t>
            </w:r>
          </w:p>
        </w:tc>
      </w:tr>
      <w:tr>
        <w:tc>
          <w:tcPr>
            <w:tcW w:type="dxa" w:w="4320"/>
          </w:tcPr>
          <w:p>
            <w:r/>
            <w:r>
              <w:rPr>
                <w:b w:val="0"/>
                <w:i w:val="0"/>
              </w:rPr>
              <w:t>Location</w:t>
            </w:r>
          </w:p>
        </w:tc>
        <w:tc>
          <w:tcPr>
            <w:tcW w:type="dxa" w:w="4320"/>
          </w:tcPr>
          <w:p>
            <w:r/>
            <w:r>
              <w:rPr>
                <w:b w:val="0"/>
                <w:i w:val="0"/>
              </w:rPr>
              <w:t>Unsettled, and it matters more here than anywhere in this cluster. The boxed equipment was recorded at the school; the school's own note on the register says the assets are still boxed at the Ministry of Education office; and a board for the District Education Office at Kaabong Town Council stands among the same run of photographs.</w:t>
            </w:r>
          </w:p>
        </w:tc>
      </w:tr>
    </w:tbl>
    <w:p/>
    <w:p>
      <w:pPr>
        <w:pStyle w:val="Heading1"/>
      </w:pPr>
      <w:r>
        <w:t>4. Supplied against found</w:t>
      </w:r>
    </w:p>
    <w:p>
      <w:r>
        <w:rPr>
          <w:b w:val="0"/>
          <w:i w:val="0"/>
        </w:rPr>
        <w:t>The supplied side is the fullest anywhere in this cluster and the found side is empty. Kaabong holds two delivery notes from one supplier under one purchase order, eight lines dated 5 May 2026 and thirty-seven lines dated 25 September 2025, and the bidder's price schedule of 31 January 2025, which carries sixteen lines and a total of 162,400,000 shillings. Against that the register counts nothing at all: its furniture and ICT schedules were left blank and no line of its buildings schedule carries a quantity. No box at this school was opened and no box was counted.</w:t>
      </w:r>
    </w:p>
    <w:p>
      <w:pPr>
        <w:pStyle w:val="Heading1"/>
      </w:pPr>
      <w:r>
        <w:t>5. Engraving and identification</w:t>
      </w:r>
    </w:p>
    <w:p>
      <w:r>
        <w:rPr>
          <w:b w:val="0"/>
          <w:i w:val="0"/>
        </w:rPr>
        <w:t>Nothing here is engraved and no serial number was read on the ground. The paper carries what the ground does not: the September delivery note gives a service tag against each of the twenty desktop computers and a serial number against the monitors, the two network switches and the printer. Not one of them has been checked against a machine.</w:t>
      </w:r>
    </w:p>
    <w:p>
      <w:pPr>
        <w:pStyle w:val="Heading1"/>
      </w:pPr>
      <w:r>
        <w:t>6. Obsolete, unserviceable or for disposal</w:t>
      </w:r>
    </w:p>
    <w:p>
      <w:r>
        <w:rPr>
          <w:b w:val="0"/>
          <w:i w:val="0"/>
        </w:rPr>
        <w:t>Nothing is listed. One defect was recorded and it stands on the works rather than on an asset: termite workings run up the plaster of two blocks, and the contractor is still on site.</w:t>
      </w:r>
    </w:p>
    <w:p>
      <w:pPr>
        <w:pStyle w:val="Heading1"/>
      </w:pPr>
      <w:r>
        <w:t>7. Operation and maintenance</w:t>
      </w:r>
    </w:p>
    <w:p>
      <w:r>
        <w:rPr>
          <w:b w:val="0"/>
          <w:i w:val="0"/>
        </w:rPr>
        <w:t>The discussion guide was left blank, so how this school will record, maintain and repair its assets is unknown. One note is written down the margin of that page and it is the whole of what the school said: the school was under construction and all the assets are still in the Ministry of Education office boxed.</w:t>
      </w:r>
    </w:p>
    <w:p>
      <w:pPr>
        <w:pStyle w:val="Heading1"/>
      </w:pPr>
      <w:r>
        <w:t>8. Queries</w:t>
      </w:r>
    </w:p>
    <w:p>
      <w:pPr>
        <w:pStyle w:val="ListBullet"/>
      </w:pPr>
      <w:r>
        <w:rPr>
          <w:b w:val="0"/>
          <w:i w:val="0"/>
        </w:rPr>
        <w:t>The register writes the school name in the field printed for the local government, so its own sheets never name Kaabong.</w:t>
      </w:r>
    </w:p>
    <w:p>
      <w:pPr>
        <w:pStyle w:val="ListBullet"/>
      </w:pPr>
      <w:r>
        <w:rPr>
          <w:b w:val="0"/>
          <w:i w:val="0"/>
        </w:rPr>
        <w:t>The cover block of the register is not on the copy on file, so its particulars and its date of submission are unfilled.</w:t>
      </w:r>
    </w:p>
    <w:p>
      <w:pPr>
        <w:pStyle w:val="ListBullet"/>
      </w:pPr>
      <w:r>
        <w:rPr>
          <w:b w:val="0"/>
          <w:i w:val="0"/>
        </w:rPr>
        <w:t>The furniture and ICT schedules were left blank although the district's delivery notes carry the ICT line by line.</w:t>
      </w:r>
    </w:p>
    <w:p>
      <w:pPr>
        <w:pStyle w:val="ListBullet"/>
      </w:pPr>
      <w:r>
        <w:rPr>
          <w:b w:val="0"/>
          <w:i w:val="0"/>
        </w:rPr>
        <w:t>Where the boxed equipment is held is unsettled between the school, the Ministry of Education office and the district education office.</w:t>
      </w:r>
    </w:p>
    <w:p>
      <w:pPr>
        <w:pStyle w:val="ListBullet"/>
      </w:pPr>
      <w:r>
        <w:rPr>
          <w:b w:val="0"/>
          <w:i w:val="0"/>
        </w:rPr>
        <w:t>Nothing on the ground was counted, so the two delivery notes have nothing to be set against.</w:t>
      </w:r>
    </w:p>
    <w:p>
      <w:pPr>
        <w:pStyle w:val="ListBullet"/>
      </w:pPr>
      <w:r>
        <w:rPr>
          <w:b w:val="0"/>
          <w:i w:val="0"/>
        </w:rPr>
        <w:t>The service tags and serial numbers on the delivery notes have never been read off the machines they name.</w:t>
      </w:r>
    </w:p>
    <w:p>
      <w:pPr>
        <w:pStyle w:val="ListBullet"/>
      </w:pPr>
      <w:r>
        <w:rPr>
          <w:b w:val="0"/>
          <w:i w:val="0"/>
        </w:rPr>
        <w:t>The discussion guide was not answered, so questions 1a, 1b, 2, 3 and 4 are all outstanding.</w:t>
      </w:r>
    </w:p>
    <w:p>
      <w:pPr>
        <w:pStyle w:val="ListBullet"/>
      </w:pPr>
      <w:r>
        <w:rPr>
          <w:b w:val="0"/>
          <w:i w:val="0"/>
        </w:rPr>
        <w:t>The works are unfinished and the contractor has not handed the school over, so a second visit is needed once the handover is done.</w:t>
      </w:r>
    </w:p>
    <w:p>
      <w:pPr>
        <w:pStyle w:val="ListBullet"/>
      </w:pPr>
      <w:r>
        <w:rPr>
          <w:b w:val="0"/>
          <w:i w:val="0"/>
        </w:rPr>
        <w:t>Termite workings run up the plaster of two blocks and belong to the District Engineer while the works are still under contract.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