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Rengen Seed School - facility report</w:t>
      </w:r>
    </w:p>
    <w:p>
      <w:pPr>
        <w:pStyle w:val="Heading1"/>
      </w:pPr>
      <w:r>
        <w:t>1. Identification</w:t>
      </w:r>
    </w:p>
    <w:tbl>
      <w:tblPr>
        <w:tblStyle w:val="TableGrid"/>
        <w:tblW w:type="auto" w:w="0"/>
        <w:tblLook w:firstColumn="1" w:firstRow="1" w:lastColumn="0" w:lastRow="0" w:noHBand="0" w:noVBand="1" w:val="04A0"/>
      </w:tblPr>
      <w:tblGrid>
        <w:gridCol w:w="4320"/>
        <w:gridCol w:w="4320"/>
      </w:tblGrid>
      <w:tr>
        <w:tc>
          <w:tcPr>
            <w:tcW w:type="dxa" w:w="4320"/>
          </w:tcPr>
          <w:p>
            <w:r>
              <w:rPr>
                <w:b/>
              </w:rPr>
            </w:r>
            <w:r>
              <w:rPr>
                <w:b/>
                <w:i w:val="0"/>
              </w:rPr>
              <w:t>Facility</w:t>
            </w:r>
          </w:p>
        </w:tc>
        <w:tc>
          <w:tcPr>
            <w:tcW w:type="dxa" w:w="4320"/>
          </w:tcPr>
          <w:p>
            <w:r>
              <w:rPr>
                <w:b/>
              </w:rPr>
            </w:r>
            <w:r>
              <w:rPr>
                <w:b/>
                <w:i w:val="0"/>
              </w:rPr>
              <w:t>Rengen Seed School</w:t>
            </w:r>
          </w:p>
        </w:tc>
      </w:tr>
      <w:tr>
        <w:tc>
          <w:tcPr>
            <w:tcW w:type="dxa" w:w="4320"/>
          </w:tcPr>
          <w:p>
            <w:r/>
            <w:r>
              <w:rPr>
                <w:b w:val="0"/>
                <w:i w:val="0"/>
              </w:rPr>
              <w:t>Named on the programme list</w:t>
            </w:r>
          </w:p>
        </w:tc>
        <w:tc>
          <w:tcPr>
            <w:tcW w:type="dxa" w:w="4320"/>
          </w:tcPr>
          <w:p>
            <w:r/>
            <w:r>
              <w:rPr>
                <w:b w:val="0"/>
                <w:i w:val="0"/>
              </w:rPr>
              <w:t>Rengen</w:t>
            </w:r>
          </w:p>
        </w:tc>
      </w:tr>
      <w:tr>
        <w:tc>
          <w:tcPr>
            <w:tcW w:type="dxa" w:w="4320"/>
          </w:tcPr>
          <w:p>
            <w:r/>
            <w:r>
              <w:rPr>
                <w:b w:val="0"/>
                <w:i w:val="0"/>
              </w:rPr>
              <w:t>Type</w:t>
            </w:r>
          </w:p>
        </w:tc>
        <w:tc>
          <w:tcPr>
            <w:tcW w:type="dxa" w:w="4320"/>
          </w:tcPr>
          <w:p>
            <w:r/>
            <w:r>
              <w:rPr>
                <w:b w:val="0"/>
                <w:i w:val="0"/>
              </w:rPr>
              <w:t>School</w:t>
            </w:r>
          </w:p>
        </w:tc>
      </w:tr>
      <w:tr>
        <w:tc>
          <w:tcPr>
            <w:tcW w:type="dxa" w:w="4320"/>
          </w:tcPr>
          <w:p>
            <w:r/>
            <w:r>
              <w:rPr>
                <w:b w:val="0"/>
                <w:i w:val="0"/>
              </w:rPr>
              <w:t>Local government</w:t>
            </w:r>
          </w:p>
        </w:tc>
        <w:tc>
          <w:tcPr>
            <w:tcW w:type="dxa" w:w="4320"/>
          </w:tcPr>
          <w:p>
            <w:r/>
            <w:r>
              <w:rPr>
                <w:b w:val="0"/>
                <w:i w:val="0"/>
              </w:rPr>
              <w:t>Kotido District</w:t>
            </w:r>
          </w:p>
        </w:tc>
      </w:tr>
      <w:tr>
        <w:tc>
          <w:tcPr>
            <w:tcW w:type="dxa" w:w="4320"/>
          </w:tcPr>
          <w:p>
            <w:r/>
            <w:r>
              <w:rPr>
                <w:b w:val="0"/>
                <w:i w:val="0"/>
              </w:rPr>
              <w:t>Region / sub-region</w:t>
            </w:r>
          </w:p>
        </w:tc>
        <w:tc>
          <w:tcPr>
            <w:tcW w:type="dxa" w:w="4320"/>
          </w:tcPr>
          <w:p>
            <w:r/>
            <w:r>
              <w:rPr>
                <w:b w:val="0"/>
                <w:i w:val="0"/>
              </w:rPr>
              <w:t>Karamoja / Karamoja</w:t>
            </w:r>
          </w:p>
        </w:tc>
      </w:tr>
      <w:tr>
        <w:tc>
          <w:tcPr>
            <w:tcW w:type="dxa" w:w="4320"/>
          </w:tcPr>
          <w:p>
            <w:r/>
            <w:r>
              <w:rPr>
                <w:b w:val="0"/>
                <w:i w:val="0"/>
              </w:rPr>
              <w:t>Date of visit</w:t>
            </w:r>
          </w:p>
        </w:tc>
        <w:tc>
          <w:tcPr>
            <w:tcW w:type="dxa" w:w="4320"/>
          </w:tcPr>
          <w:p>
            <w:r/>
            <w:r>
              <w:rPr>
                <w:b w:val="0"/>
                <w:i w:val="0"/>
              </w:rPr>
              <w:t>2026-08-26</w:t>
            </w:r>
          </w:p>
        </w:tc>
      </w:tr>
      <w:tr>
        <w:tc>
          <w:tcPr>
            <w:tcW w:type="dxa" w:w="4320"/>
          </w:tcPr>
          <w:p>
            <w:r/>
            <w:r>
              <w:rPr>
                <w:b w:val="0"/>
                <w:i w:val="0"/>
              </w:rPr>
              <w:t>Team members present</w:t>
            </w:r>
          </w:p>
        </w:tc>
        <w:tc>
          <w:tcPr>
            <w:tcW w:type="dxa" w:w="4320"/>
          </w:tcPr>
          <w:p>
            <w:r/>
            <w:r>
              <w:rPr>
                <w:b w:val="0"/>
                <w:i w:val="0"/>
              </w:rPr>
              <w:t>Mworozi Davis and Nalukwata Shadia</w:t>
            </w:r>
          </w:p>
        </w:tc>
      </w:tr>
      <w:tr>
        <w:tc>
          <w:tcPr>
            <w:tcW w:type="dxa" w:w="4320"/>
          </w:tcPr>
          <w:p>
            <w:r/>
            <w:r>
              <w:rPr>
                <w:b w:val="0"/>
                <w:i w:val="0"/>
              </w:rPr>
              <w:t>Informant interviewed</w:t>
            </w:r>
          </w:p>
        </w:tc>
        <w:tc>
          <w:tcPr>
            <w:tcW w:type="dxa" w:w="4320"/>
          </w:tcPr>
          <w:p>
            <w:r/>
            <w:r>
              <w:rPr>
                <w:b w:val="0"/>
                <w:i w:val="0"/>
              </w:rPr>
              <w:t>A teacher of the school, Zaitun, who took the team round. The head teacher was away and his telephones were off</w:t>
            </w:r>
          </w:p>
        </w:tc>
      </w:tr>
      <w:tr>
        <w:tc>
          <w:tcPr>
            <w:tcW w:type="dxa" w:w="4320"/>
          </w:tcPr>
          <w:p>
            <w:r/>
            <w:r>
              <w:rPr>
                <w:b w:val="0"/>
                <w:i w:val="0"/>
              </w:rPr>
              <w:t>Supervisor</w:t>
            </w:r>
          </w:p>
        </w:tc>
        <w:tc>
          <w:tcPr>
            <w:tcW w:type="dxa" w:w="4320"/>
          </w:tcPr>
          <w:p>
            <w:r/>
            <w:r>
              <w:rPr>
                <w:b w:val="0"/>
                <w:i w:val="0"/>
              </w:rPr>
              <w:t>Kassim Luminsa</w:t>
            </w:r>
          </w:p>
        </w:tc>
      </w:tr>
    </w:tbl>
    <w:p/>
    <w:p>
      <w:pPr>
        <w:pStyle w:val="Heading1"/>
      </w:pPr>
      <w:r>
        <w:t>2. Entry</w:t>
      </w:r>
    </w:p>
    <w:p>
      <w:r>
        <w:rPr>
          <w:b w:val="0"/>
          <w:i w:val="0"/>
        </w:rPr>
        <w:t>No visitors' register was photographed here, so nothing on file shows the team signed in. A teacher received the team and went round the site with it. The school is not yet open and the contractor is still on the works.</w:t>
      </w:r>
    </w:p>
    <w:p>
      <w:pPr>
        <w:pStyle w:val="Heading1"/>
      </w:pPr>
      <w:r>
        <w:t>3. Condition and status</w:t>
      </w:r>
    </w:p>
    <w:p>
      <w:r>
        <w:rPr>
          <w:b w:val="0"/>
          <w:i w:val="0"/>
        </w:rPr>
        <w:t>Ownership, functionality, usage and location. Only what the day itself settled is written below; whatever it left open reads not reported, and nothing is borrowed from another source to close it.</w:t>
      </w:r>
    </w:p>
    <w:tbl>
      <w:tblPr>
        <w:tblStyle w:val="TableGrid"/>
        <w:tblW w:type="auto" w:w="0"/>
        <w:tblLook w:firstColumn="1" w:firstRow="1" w:lastColumn="0" w:lastRow="0" w:noHBand="0" w:noVBand="1" w:val="04A0"/>
      </w:tblPr>
      <w:tblGrid>
        <w:gridCol w:w="4320"/>
        <w:gridCol w:w="4320"/>
      </w:tblGrid>
      <w:tr>
        <w:tc>
          <w:tcPr>
            <w:tcW w:type="dxa" w:w="4320"/>
          </w:tcPr>
          <w:p>
            <w:r>
              <w:rPr>
                <w:b/>
              </w:rPr>
            </w:r>
            <w:r>
              <w:rPr>
                <w:b/>
                <w:i w:val="0"/>
              </w:rPr>
              <w:t>Dimension</w:t>
            </w:r>
          </w:p>
        </w:tc>
        <w:tc>
          <w:tcPr>
            <w:tcW w:type="dxa" w:w="4320"/>
          </w:tcPr>
          <w:p>
            <w:r>
              <w:rPr>
                <w:b/>
              </w:rPr>
            </w:r>
            <w:r>
              <w:rPr>
                <w:b/>
                <w:i w:val="0"/>
              </w:rPr>
              <w:t>What was established on site</w:t>
            </w:r>
          </w:p>
        </w:tc>
      </w:tr>
      <w:tr>
        <w:tc>
          <w:tcPr>
            <w:tcW w:type="dxa" w:w="4320"/>
          </w:tcPr>
          <w:p>
            <w:r/>
            <w:r>
              <w:rPr>
                <w:b w:val="0"/>
                <w:i w:val="0"/>
              </w:rPr>
              <w:t>Ownership</w:t>
            </w:r>
          </w:p>
        </w:tc>
        <w:tc>
          <w:tcPr>
            <w:tcW w:type="dxa" w:w="4320"/>
          </w:tcPr>
          <w:p>
            <w:r/>
            <w:r>
              <w:rPr>
                <w:b w:val="0"/>
                <w:i w:val="0"/>
              </w:rPr>
              <w:t>Not reported. No title and no ownership document was seen, and the contractor has not handed the works over.</w:t>
            </w:r>
          </w:p>
        </w:tc>
      </w:tr>
      <w:tr>
        <w:tc>
          <w:tcPr>
            <w:tcW w:type="dxa" w:w="4320"/>
          </w:tcPr>
          <w:p>
            <w:r/>
            <w:r>
              <w:rPr>
                <w:b w:val="0"/>
                <w:i w:val="0"/>
              </w:rPr>
              <w:t>Functionality</w:t>
            </w:r>
          </w:p>
        </w:tc>
        <w:tc>
          <w:tcPr>
            <w:tcW w:type="dxa" w:w="4320"/>
          </w:tcPr>
          <w:p>
            <w:r/>
            <w:r>
              <w:rPr>
                <w:b w:val="0"/>
                <w:i w:val="0"/>
              </w:rPr>
              <w:t>Settled for the buildings and empty of anything else. The blocks stand and the works are unfinished; there is no item of furniture, ICT or laboratory equipment here to work or to fail.</w:t>
            </w:r>
          </w:p>
        </w:tc>
      </w:tr>
      <w:tr>
        <w:tc>
          <w:tcPr>
            <w:tcW w:type="dxa" w:w="4320"/>
          </w:tcPr>
          <w:p>
            <w:r/>
            <w:r>
              <w:rPr>
                <w:b w:val="0"/>
                <w:i w:val="0"/>
              </w:rPr>
              <w:t>Usage / performance</w:t>
            </w:r>
          </w:p>
        </w:tc>
        <w:tc>
          <w:tcPr>
            <w:tcW w:type="dxa" w:w="4320"/>
          </w:tcPr>
          <w:p>
            <w:r/>
            <w:r>
              <w:rPr>
                <w:b w:val="0"/>
                <w:i w:val="0"/>
              </w:rPr>
              <w:t>Not reported, and nothing is in use. The school waits on the opening of term three and the learners have been told to slash.</w:t>
            </w:r>
          </w:p>
        </w:tc>
      </w:tr>
      <w:tr>
        <w:tc>
          <w:tcPr>
            <w:tcW w:type="dxa" w:w="4320"/>
          </w:tcPr>
          <w:p>
            <w:r/>
            <w:r>
              <w:rPr>
                <w:b w:val="0"/>
                <w:i w:val="0"/>
              </w:rPr>
              <w:t>Location</w:t>
            </w:r>
          </w:p>
        </w:tc>
        <w:tc>
          <w:tcPr>
            <w:tcW w:type="dxa" w:w="4320"/>
          </w:tcPr>
          <w:p>
            <w:r/>
            <w:r>
              <w:rPr>
                <w:b w:val="0"/>
                <w:i w:val="0"/>
              </w:rPr>
              <w:t>Settled to the site. Nothing movable is held here at all.</w:t>
            </w:r>
          </w:p>
        </w:tc>
      </w:tr>
    </w:tbl>
    <w:p/>
    <w:p>
      <w:pPr>
        <w:pStyle w:val="Heading1"/>
      </w:pPr>
      <w:r>
        <w:t>4. Supplied against found</w:t>
      </w:r>
    </w:p>
    <w:p>
      <w:r>
        <w:rPr>
          <w:b w:val="0"/>
          <w:i w:val="0"/>
        </w:rPr>
        <w:t>There is nothing to compare because nothing was supplied. The school reported that it received none of its UgIFT items, the money for them having gone back to Finance before they could be bought, and it asked that the funds be released back to it. What the programme has put here is the buildings, and the district's record of assets carries ICT only and names no facility.</w:t>
      </w:r>
    </w:p>
    <w:p>
      <w:r>
        <w:rPr>
          <w:b w:val="0"/>
          <w:i w:val="0"/>
        </w:rPr>
        <w:t>The buildings themselves are counted two ways in this school's own evidence. The written record gives six blocks, one administration block, three teachers' quarters, two latrine blocks of five stances between them and one kitchen; what was recorded on the day is three blocks under construction, a toilet block of two rooms, a toilet block of four rooms, three kitchens under construction and two water tanks.</w:t>
      </w:r>
    </w:p>
    <w:p>
      <w:pPr>
        <w:pStyle w:val="Heading1"/>
      </w:pPr>
      <w:r>
        <w:t>5. Engraving and identification</w:t>
      </w:r>
    </w:p>
    <w:p>
      <w:r>
        <w:rPr>
          <w:b w:val="0"/>
          <w:i w:val="0"/>
        </w:rPr>
        <w:t>Nothing here is engraved and no serial number was taken, there being no movable asset at this school to carry either.</w:t>
      </w:r>
    </w:p>
    <w:p>
      <w:pPr>
        <w:pStyle w:val="Heading1"/>
      </w:pPr>
      <w:r>
        <w:t>6. Obsolete, unserviceable or for disposal</w:t>
      </w:r>
    </w:p>
    <w:p>
      <w:r>
        <w:rPr>
          <w:b w:val="0"/>
          <w:i w:val="0"/>
        </w:rPr>
        <w:t>Nothing is listed. The works are unfinished rather than damaged, and no defect was recorded against them.</w:t>
      </w:r>
    </w:p>
    <w:p>
      <w:pPr>
        <w:pStyle w:val="Heading1"/>
      </w:pPr>
      <w:r>
        <w:t>7. Operation and maintenance</w:t>
      </w:r>
    </w:p>
    <w:p>
      <w:r>
        <w:rPr>
          <w:b w:val="0"/>
          <w:i w:val="0"/>
        </w:rPr>
        <w:t>What the teacher told the team:</w:t>
      </w:r>
    </w:p>
    <w:p>
      <w:pPr>
        <w:pStyle w:val="ListBullet"/>
      </w:pPr>
      <w:r>
        <w:rPr>
          <w:b w:val="0"/>
          <w:i w:val="0"/>
        </w:rPr>
        <w:t>The school has received none of the UgIFT items it was to get.</w:t>
      </w:r>
    </w:p>
    <w:p>
      <w:pPr>
        <w:pStyle w:val="ListBullet"/>
      </w:pPr>
      <w:r>
        <w:rPr>
          <w:b w:val="0"/>
          <w:i w:val="0"/>
        </w:rPr>
        <w:t>The money for those items was returned to Finance before they were bought.</w:t>
      </w:r>
    </w:p>
    <w:p>
      <w:pPr>
        <w:pStyle w:val="ListBullet"/>
      </w:pPr>
      <w:r>
        <w:rPr>
          <w:b w:val="0"/>
          <w:i w:val="0"/>
        </w:rPr>
        <w:t>The school asks that the funds be released back to it so the items can be bought.</w:t>
      </w:r>
    </w:p>
    <w:p>
      <w:pPr>
        <w:pStyle w:val="ListBullet"/>
      </w:pPr>
      <w:r>
        <w:rPr>
          <w:b w:val="0"/>
          <w:i w:val="0"/>
        </w:rPr>
        <w:t>The contractor has not finished the works and has handed nothing over.</w:t>
      </w:r>
    </w:p>
    <w:p>
      <w:pPr>
        <w:pStyle w:val="ListBullet"/>
      </w:pPr>
      <w:r>
        <w:rPr>
          <w:b w:val="0"/>
          <w:i w:val="0"/>
        </w:rPr>
        <w:t>The school waits on the opening of term three, and the learners have been told to slash.</w:t>
      </w:r>
    </w:p>
    <w:p>
      <w:pPr>
        <w:pStyle w:val="Heading1"/>
      </w:pPr>
      <w:r>
        <w:t>8. Queries</w:t>
      </w:r>
    </w:p>
    <w:p>
      <w:pPr>
        <w:pStyle w:val="ListBullet"/>
      </w:pPr>
      <w:r>
        <w:rPr>
          <w:b w:val="0"/>
          <w:i w:val="0"/>
        </w:rPr>
        <w:t>This school is named three ways in its own evidence, as Rengen Seed School, as Rengen Seed Secondary School and as Rengene Primary School.</w:t>
      </w:r>
    </w:p>
    <w:p>
      <w:pPr>
        <w:pStyle w:val="ListBullet"/>
      </w:pPr>
      <w:r>
        <w:rPr>
          <w:b w:val="0"/>
          <w:i w:val="0"/>
        </w:rPr>
        <w:t>Where the returned money now stands, and whether it can be released, is unsettled.</w:t>
      </w:r>
    </w:p>
    <w:p>
      <w:pPr>
        <w:pStyle w:val="ListBullet"/>
      </w:pPr>
      <w:r>
        <w:rPr>
          <w:b w:val="0"/>
          <w:i w:val="0"/>
        </w:rPr>
        <w:t>No register was filled and the discussion guide was not held, because the school is under construction and not yet commissioned.</w:t>
      </w:r>
    </w:p>
    <w:p>
      <w:pPr>
        <w:pStyle w:val="ListBullet"/>
      </w:pPr>
      <w:r>
        <w:rPr>
          <w:b w:val="0"/>
          <w:i w:val="0"/>
        </w:rPr>
        <w:t>The written record counts one kitchen where the day recorded three under construction.</w:t>
      </w:r>
    </w:p>
    <w:p>
      <w:pPr>
        <w:pStyle w:val="ListBullet"/>
      </w:pPr>
      <w:r>
        <w:rPr>
          <w:b w:val="0"/>
          <w:i w:val="0"/>
        </w:rPr>
        <w:t>The written record counts five stances across two latrine blocks where the day recorded two rooms in one and four in the other.</w:t>
      </w:r>
    </w:p>
    <w:p>
      <w:pPr>
        <w:pStyle w:val="ListBullet"/>
      </w:pPr>
      <w:r>
        <w:rPr>
          <w:b w:val="0"/>
          <w:i w:val="0"/>
        </w:rPr>
        <w:t>The teacher who took the team round is named only by her first name, and no other member of staff is named at all.</w:t>
      </w:r>
    </w:p>
    <w:p>
      <w:pPr>
        <w:pStyle w:val="ListBullet"/>
      </w:pPr>
      <w:r>
        <w:rPr>
          <w:b w:val="0"/>
          <w:i w:val="0"/>
        </w:rPr>
        <w:t>The works are unfinished and a second visit is needed once the contractor has handed them over.</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