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11 - daily log of activities, Kaabong District</w:t>
      </w:r>
    </w:p>
    <w:p>
      <w:r>
        <w:rPr>
          <w:b w:val="0"/>
          <w:i w:val="0"/>
        </w:rPr>
        <w:t>Team: Mworozi Davis, Nalukwata Shadia. Supervisor: Kassim Luminsa.</w:t>
      </w:r>
    </w:p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Kaabong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Mworozi Davis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Sidok Seed Secondary School, still a building site, and the boxed ICT standing in it; the buildings schedule of the toolkit filled in by hand and the district's two delivery notes and price schedule obtained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Nalukwata Shadia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Nothing recorded for this district on this 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37 photographs on 2026-08-27</w:t>
      </w:r>
      <w:r>
        <w:rPr>
          <w:b w:val="0"/>
          <w:i w:val="0"/>
        </w:rPr>
        <w:t xml:space="preserve">, of which 36 are at the school and 1 in the town. </w:t>
      </w:r>
      <w:r>
        <w:rPr>
          <w:b/>
          <w:i w:val="0"/>
        </w:rPr>
        <w:t>One facility was verified on this day</w:t>
      </w:r>
      <w:r>
        <w:rPr>
          <w:b w:val="0"/>
          <w:i w:val="0"/>
        </w:rPr>
        <w:t>, Sidok Seed Secondary School, by its own register filled in on site. The register carries the buildings only: its furniture and ICT schedules were left blank and the discussion guide was not answered.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