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Malaba Seed School - facility report</w:t>
      </w:r>
    </w:p>
    <w:p>
      <w:pPr>
        <w:pStyle w:val="Heading1"/>
      </w:pPr>
      <w:r>
        <w:t>1.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Malaba Seed School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Named on the programme list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Malaba Seed School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School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Local government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Tororo District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Region / sub-region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Eastern / Bukedi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visit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2026-08-28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 members present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Kayongo Tonny, Lydia Nakiganda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Informant interviewed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None recorded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Supervisor's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+256 702 806116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Entry</w:t>
      </w:r>
    </w:p>
    <w:p>
      <w:r>
        <w:rPr>
          <w:b w:val="0"/>
          <w:i w:val="0"/>
        </w:rPr>
        <w:t>The team reached this school on 28 August. A hand-filled register naming Malaba Seed Secondary School is on file together with 147 photographs. Nobody is named as having received the team. No visitors' register was photographed.</w:t>
      </w:r>
    </w:p>
    <w:p>
      <w:pPr>
        <w:pStyle w:val="Heading1"/>
      </w:pPr>
      <w:r>
        <w:t>3. Condition and status</w:t>
      </w:r>
    </w:p>
    <w:p>
      <w:r>
        <w:rPr>
          <w:b w:val="0"/>
          <w:i w:val="0"/>
        </w:rPr>
        <w:t>The four things the exercise exists to establish. Only what was established on site appears here; the rest is marked as not reported, not guessed.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established on site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Ownership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Not reported. No land title or ownership document was obtained.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Functionality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Established line by line on the hand-filled register for furniture, ICT and buildings, though several description cells were left blank where the writing could not be read.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Usage / performance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Not reported. The discussion guide was not among the pages photographed.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Recorded on the register for desks, laboratory stools, book shelves, ICT items and buildings; the photographs show classrooms, the laboratory, library shelving and compound works.</w:t>
            </w:r>
          </w:p>
        </w:tc>
      </w:tr>
    </w:tbl>
    <w:p/>
    <w:p>
      <w:pPr>
        <w:pStyle w:val="Heading1"/>
      </w:pPr>
      <w:r>
        <w:t>4. Supplied against found</w:t>
      </w:r>
    </w:p>
    <w:p>
      <w:r>
        <w:rPr>
          <w:b w:val="0"/>
          <w:i w:val="0"/>
        </w:rPr>
        <w:t>The hand-filled register is the found side and nothing on the day was counted against it, so not one line is closed.</w:t>
      </w:r>
    </w:p>
    <w:p>
      <w:pPr>
        <w:pStyle w:val="Heading1"/>
      </w:pPr>
      <w:r>
        <w:t>5. Engraving and identification</w:t>
      </w:r>
    </w:p>
    <w:p>
      <w:r>
        <w:rPr>
          <w:b w:val="0"/>
          <w:i w:val="0"/>
        </w:rPr>
        <w:t>The register records not engraved on most furniture and ICT lines. Desks in the photographs carry M.S.S.S markings.</w:t>
      </w:r>
    </w:p>
    <w:p>
      <w:pPr>
        <w:pStyle w:val="Heading1"/>
      </w:pPr>
      <w:r>
        <w:t>6. Obsolete, unserviceable or for disposal</w:t>
      </w:r>
    </w:p>
    <w:p>
      <w:r>
        <w:rPr>
          <w:b w:val="0"/>
          <w:i w:val="0"/>
        </w:rPr>
        <w:t>One laboratory stool on the register is recorded broken; nothing was named for disposal.</w:t>
      </w:r>
    </w:p>
    <w:p>
      <w:pPr>
        <w:pStyle w:val="Heading1"/>
      </w:pPr>
      <w:r>
        <w:t>7. Operation and maintenance</w:t>
      </w:r>
    </w:p>
    <w:p>
      <w:r>
        <w:rPr>
          <w:b w:val="0"/>
          <w:i w:val="0"/>
        </w:rPr>
        <w:t>The discussion guide was not answered because it was not among the pages photographed.</w:t>
      </w:r>
    </w:p>
    <w:p>
      <w:pPr>
        <w:pStyle w:val="Heading1"/>
      </w:pPr>
      <w:r>
        <w:t>8. Queries</w:t>
      </w:r>
    </w:p>
    <w:p>
      <w:pPr>
        <w:pStyle w:val="ListBullet"/>
      </w:pPr>
      <w:r>
        <w:rPr>
          <w:b w:val="0"/>
          <w:i w:val="0"/>
        </w:rPr>
        <w:t>The discussion guide and cover block of the hand-filled register were not photographed; complete them.</w:t>
      </w:r>
    </w:p>
    <w:p>
      <w:pPr>
        <w:pStyle w:val="ListBullet"/>
      </w:pPr>
      <w:r>
        <w:rPr>
          <w:b w:val="0"/>
          <w:i w:val="0"/>
        </w:rPr>
        <w:t>Nothing here was counted on the day; count against the hand-filled register.</w:t>
      </w:r>
    </w:p>
    <w:p>
      <w:pPr>
        <w:pStyle w:val="ListBullet"/>
      </w:pPr>
      <w:r>
        <w:rPr>
          <w:b w:val="0"/>
          <w:i w:val="0"/>
        </w:rPr>
        <w:t>Ownership was not established.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