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Kaabong District - review of the record of assets held at the local government</w:t>
      </w:r>
    </w:p>
    <w:p>
      <w:r>
        <w:rPr>
          <w:b w:val="0"/>
          <w:i w:val="0"/>
        </w:rPr>
        <w:t>Kaabong produced three documents and they came in together on the evening of 27 August, on the same sheets as the school's own register. All three are financial, which is what a local government is asked for.</w:t>
      </w:r>
    </w:p>
    <w:p>
      <w:pPr>
        <w:pStyle w:val="Heading1"/>
      </w:pPr>
      <w:r>
        <w:t>1. What the district holds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The records</w:t>
            </w:r>
          </w:p>
        </w:tc>
        <w:tc>
          <w:tcPr>
            <w:tcW w:type="dxa" w:w="4320"/>
          </w:tcPr>
          <w:p>
            <w:r>
              <w:rPr>
                <w:b/>
              </w:rPr>
            </w:r>
            <w:r>
              <w:rPr>
                <w:b/>
                <w:i w:val="0"/>
              </w:rPr>
              <w:t>Two supplier delivery notes and the bidder's price schedule, all under one purchase order</w:t>
            </w:r>
          </w:p>
        </w:tc>
      </w:tr>
      <w:tr>
        <w:tc>
          <w:tcPr>
            <w:tcW w:type="dxa" w:w="4320"/>
          </w:tcPr>
          <w:p>
            <w:r/>
            <w:r>
              <w:rPr>
                <w:b w:val="0"/>
                <w:i w:val="0"/>
              </w:rPr>
              <w:t>The September note</w:t>
            </w:r>
          </w:p>
        </w:tc>
        <w:tc>
          <w:tcPr>
            <w:tcW w:type="dxa" w:w="4320"/>
          </w:tcPr>
          <w:p>
            <w:r/>
            <w:r>
              <w:rPr>
                <w:b w:val="0"/>
                <w:i w:val="0"/>
              </w:rPr>
              <w:t>Thirty-seven lines over three pages, receipted on 29 September 2025 and dated 25 September 2025 on two pages and 26 September on the first</w:t>
            </w:r>
          </w:p>
        </w:tc>
      </w:tr>
      <w:tr>
        <w:tc>
          <w:tcPr>
            <w:tcW w:type="dxa" w:w="4320"/>
          </w:tcPr>
          <w:p>
            <w:r/>
            <w:r>
              <w:rPr>
                <w:b w:val="0"/>
                <w:i w:val="0"/>
              </w:rPr>
              <w:t>The May note</w:t>
            </w:r>
          </w:p>
        </w:tc>
        <w:tc>
          <w:tcPr>
            <w:tcW w:type="dxa" w:w="4320"/>
          </w:tcPr>
          <w:p>
            <w:r/>
            <w:r>
              <w:rPr>
                <w:b w:val="0"/>
                <w:i w:val="0"/>
              </w:rPr>
              <w:t>Eight lines, dated 5 May 2026 and receipted on 7 May 2026</w:t>
            </w:r>
          </w:p>
        </w:tc>
      </w:tr>
      <w:tr>
        <w:tc>
          <w:tcPr>
            <w:tcW w:type="dxa" w:w="4320"/>
          </w:tcPr>
          <w:p>
            <w:r/>
            <w:r>
              <w:rPr>
                <w:b w:val="0"/>
                <w:i w:val="0"/>
              </w:rPr>
              <w:t>The price schedule</w:t>
            </w:r>
          </w:p>
        </w:tc>
        <w:tc>
          <w:tcPr>
            <w:tcW w:type="dxa" w:w="4320"/>
          </w:tcPr>
          <w:p>
            <w:r/>
            <w:r>
              <w:rPr>
                <w:b w:val="0"/>
                <w:i w:val="0"/>
              </w:rPr>
              <w:t>Dated 31 January 2025, sixteen lines with a unit price against each and a total of 162,400,000 shillings</w:t>
            </w:r>
          </w:p>
        </w:tc>
      </w:tr>
      <w:tr>
        <w:tc>
          <w:tcPr>
            <w:tcW w:type="dxa" w:w="4320"/>
          </w:tcPr>
          <w:p>
            <w:r/>
            <w:r>
              <w:rPr>
                <w:b w:val="0"/>
                <w:i w:val="0"/>
              </w:rPr>
              <w:t>Receipted by</w:t>
            </w:r>
          </w:p>
        </w:tc>
        <w:tc>
          <w:tcPr>
            <w:tcW w:type="dxa" w:w="4320"/>
          </w:tcPr>
          <w:p>
            <w:r/>
            <w:r>
              <w:rPr>
                <w:b w:val="0"/>
                <w:i w:val="0"/>
              </w:rPr>
              <w:t>Two assistant inventory management officers of the district, neither of whom met the team</w:t>
            </w:r>
          </w:p>
        </w:tc>
      </w:tr>
      <w:tr>
        <w:tc>
          <w:tcPr>
            <w:tcW w:type="dxa" w:w="4320"/>
          </w:tcPr>
          <w:p>
            <w:r/>
            <w:r>
              <w:rPr>
                <w:b w:val="0"/>
                <w:i w:val="0"/>
              </w:rPr>
              <w:t>A register of the district's own</w:t>
            </w:r>
          </w:p>
        </w:tc>
        <w:tc>
          <w:tcPr>
            <w:tcW w:type="dxa" w:w="4320"/>
          </w:tcPr>
          <w:p>
            <w:r/>
            <w:r>
              <w:rPr>
                <w:b w:val="0"/>
                <w:i w:val="0"/>
              </w:rPr>
              <w:t>No record. None was offered and none is on file</w:t>
            </w:r>
          </w:p>
        </w:tc>
      </w:tr>
    </w:tbl>
    <w:p/>
    <w:p>
      <w:pPr>
        <w:pStyle w:val="Heading1"/>
      </w:pPr>
      <w:r>
        <w:t>2. What it covers, and what it does not</w:t>
      </w:r>
    </w:p>
    <w:p>
      <w:r>
        <w:rPr>
          <w:b w:val="0"/>
          <w:i w:val="0"/>
        </w:rPr>
        <w:t>It covers ICT and the works that carry it, and nothing else: twenty desktop computers and their monitors, a server, two network switches, a printer, twenty standby power units, a projector, a camera and its recorder, an air conditioner, and the trunking, cable and fittings to install them. No furniture, no laboratory equipment and no building appears anywhere in it. Kaabong has one facility on the programme list, so the district record reaches the only school it owes.</w:t>
      </w:r>
    </w:p>
    <w:p>
      <w:r>
        <w:rPr>
          <w:b w:val="0"/>
          <w:i w:val="0"/>
        </w:rPr>
        <w:t>It does not name that school. Every one of the three documents is headed to Kaabong District Local Government and none carries the word Sidok, so the paper alone cannot say which facility the equipment was bought for.</w:t>
      </w:r>
    </w:p>
    <w:p>
      <w:pPr>
        <w:pStyle w:val="Heading1"/>
      </w:pPr>
      <w:r>
        <w:t>3. What can be read on it</w:t>
      </w:r>
    </w:p>
    <w:p>
      <w:r>
        <w:rPr>
          <w:b w:val="0"/>
          <w:i w:val="0"/>
        </w:rPr>
        <w:t>More than on any other district record in this cluster. The September note gives a service tag against each of the twenty desktop computers and a serial number against the monitors, the two switches and the printer, so every one of those machines can be identified again from the paper. The price schedule gives a country of origin and a unit price against every line. A tick stands against each quantity in both notes; those were made by hand on the supplier's own document and are not taken here as ground counts.</w:t>
      </w:r>
    </w:p>
    <w:p>
      <w:pPr>
        <w:pStyle w:val="Heading1"/>
      </w:pPr>
      <w:r>
        <w:t>4. Against what the facility holds</w:t>
      </w:r>
    </w:p>
    <w:p>
      <w:r>
        <w:rPr>
          <w:b w:val="0"/>
          <w:i w:val="0"/>
        </w:rPr>
        <w:t>The comparison cannot be made at all, and the reason is on the facility side. Sidok Seed Secondary School filled in its buildings schedule and left its furniture and ICT schedules blank, so it counted nothing. Its own note says the assets are still boxed at the Ministry of Education office. So the district can say in detail what was bought and delivered, and nobody can yet say what is on the ground or where the ground is.</w:t>
      </w:r>
    </w:p>
    <w:p>
      <w:pPr>
        <w:pStyle w:val="Heading1"/>
      </w:pPr>
      <w:r>
        <w:t>5. Queries</w:t>
      </w:r>
    </w:p>
    <w:p>
      <w:pPr>
        <w:pStyle w:val="ListBullet"/>
      </w:pPr>
      <w:r>
        <w:rPr>
          <w:b w:val="0"/>
          <w:i w:val="0"/>
        </w:rPr>
        <w:t>Obtain Kaabong's own asset register, or record in writing from the Chief Administrative Officer that the district holds none.</w:t>
      </w:r>
    </w:p>
    <w:p>
      <w:pPr>
        <w:pStyle w:val="ListBullet"/>
      </w:pPr>
      <w:r>
        <w:rPr>
          <w:b w:val="0"/>
          <w:i w:val="0"/>
        </w:rPr>
        <w:t>Have the district record against these three documents which facility the equipment was bought for.</w:t>
      </w:r>
    </w:p>
    <w:p>
      <w:pPr>
        <w:pStyle w:val="ListBullet"/>
      </w:pPr>
      <w:r>
        <w:rPr>
          <w:b w:val="0"/>
          <w:i w:val="0"/>
        </w:rPr>
        <w:t>Establish where the boxed equipment now stands and which officer holds the key to it.</w:t>
      </w:r>
    </w:p>
    <w:p>
      <w:pPr>
        <w:pStyle w:val="ListBullet"/>
      </w:pPr>
      <w:r>
        <w:rPr>
          <w:b w:val="0"/>
          <w:i w:val="0"/>
        </w:rPr>
        <w:t>Count the boxes against the two delivery notes, and open them so the service tags can be read off the machines.</w:t>
      </w:r>
    </w:p>
    <w:p>
      <w:pPr>
        <w:pStyle w:val="ListBullet"/>
      </w:pPr>
      <w:r>
        <w:rPr>
          <w:b w:val="0"/>
          <w:i w:val="0"/>
        </w:rPr>
        <w:t>Confirm who ticked the quantity column of both notes and what a tick records.</w:t>
      </w:r>
    </w:p>
    <w:p>
      <w:pPr>
        <w:pStyle w:val="ListBullet"/>
      </w:pPr>
      <w:r>
        <w:rPr>
          <w:b w:val="0"/>
          <w:i w:val="0"/>
        </w:rPr>
        <w:t>The first page of the September note is dated a day later than its two continuation pages, which carry the same delivery number. Confirm the date.</w:t>
      </w:r>
    </w:p>
    <w:p>
      <w:pPr>
        <w:pStyle w:val="ListBullet"/>
      </w:pPr>
      <w:r>
        <w:rPr>
          <w:b w:val="0"/>
          <w:i w:val="0"/>
        </w:rPr>
        <w:t>Establish where a UgIFT asset in this district acquires an asset number, the notes carrying serial numbers and nothing 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