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 11 - daily log of activities, Kotido District</w:t>
      </w:r>
    </w:p>
    <w:p>
      <w:r>
        <w:rPr>
          <w:b w:val="0"/>
          <w:i w:val="0"/>
        </w:rPr>
        <w:t>Team: Mworozi Davis, Nalukwata Shadia. Supervisor: Kassim Luminsa.</w:t>
      </w:r>
    </w:p>
    <w:p>
      <w:pPr>
        <w:pStyle w:val="Heading1"/>
      </w:pPr>
      <w:r>
        <w:t>2026-08-26</w:t>
      </w:r>
    </w:p>
    <w:p>
      <w:r>
        <w:rPr>
          <w:b w:val="0"/>
          <w:i w:val="0"/>
        </w:rPr>
        <w:t xml:space="preserve">Local government covered: </w:t>
      </w:r>
      <w:r>
        <w:rPr>
          <w:b/>
          <w:i w:val="0"/>
        </w:rPr>
        <w:t>Kotido District</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Researcher</w:t>
            </w:r>
          </w:p>
        </w:tc>
        <w:tc>
          <w:tcPr>
            <w:tcW w:type="dxa" w:w="2880"/>
          </w:tcPr>
          <w:p>
            <w:r>
              <w:rPr>
                <w:b/>
              </w:rPr>
            </w:r>
            <w:r>
              <w:rPr>
                <w:b/>
                <w:i w:val="0"/>
              </w:rPr>
              <w:t>What was covered</w:t>
            </w:r>
          </w:p>
        </w:tc>
        <w:tc>
          <w:tcPr>
            <w:tcW w:type="dxa" w:w="2880"/>
          </w:tcPr>
          <w:p>
            <w:r>
              <w:rPr>
                <w:b/>
              </w:rPr>
            </w:r>
            <w:r>
              <w:rPr>
                <w:b/>
                <w:i w:val="0"/>
              </w:rPr>
              <w:t>Photographs</w:t>
            </w:r>
          </w:p>
        </w:tc>
      </w:tr>
      <w:tr>
        <w:tc>
          <w:tcPr>
            <w:tcW w:type="dxa" w:w="2880"/>
          </w:tcPr>
          <w:p>
            <w:r/>
            <w:r>
              <w:rPr>
                <w:b w:val="0"/>
                <w:i w:val="0"/>
              </w:rPr>
              <w:t>Mworozi Davis</w:t>
            </w:r>
          </w:p>
        </w:tc>
        <w:tc>
          <w:tcPr>
            <w:tcW w:type="dxa" w:w="2880"/>
          </w:tcPr>
          <w:p>
            <w:r/>
            <w:r>
              <w:rPr>
                <w:b w:val="0"/>
                <w:i w:val="0"/>
              </w:rPr>
              <w:t>The Chief Administrative Officer's office in the morning, where the visitors' book was signed; then Panyangara Seed Secondary School and Rengen Seed School with the District Education Officer, and Kamoru HC III through the afternoon</w:t>
            </w:r>
          </w:p>
        </w:tc>
        <w:tc>
          <w:tcPr>
            <w:tcW w:type="dxa" w:w="2880"/>
          </w:tcPr>
          <w:p>
            <w:r/>
            <w:r>
              <w:rPr>
                <w:b w:val="0"/>
                <w:i w:val="0"/>
              </w:rPr>
              <w:t>40</w:t>
            </w:r>
          </w:p>
        </w:tc>
      </w:tr>
      <w:tr>
        <w:tc>
          <w:tcPr>
            <w:tcW w:type="dxa" w:w="2880"/>
          </w:tcPr>
          <w:p>
            <w:r/>
            <w:r>
              <w:rPr>
                <w:b w:val="0"/>
                <w:i w:val="0"/>
              </w:rPr>
              <w:t>Nalukwata Shadia</w:t>
            </w:r>
          </w:p>
        </w:tc>
        <w:tc>
          <w:tcPr>
            <w:tcW w:type="dxa" w:w="2880"/>
          </w:tcPr>
          <w:p>
            <w:r/>
            <w:r>
              <w:rPr>
                <w:b w:val="0"/>
                <w:i w:val="0"/>
              </w:rPr>
              <w:t>The same call and the same three facilities; the residential block, the rest rooms and the hand pump at Kamoru HC III recorded at the end of the day</w:t>
            </w:r>
          </w:p>
        </w:tc>
        <w:tc>
          <w:tcPr>
            <w:tcW w:type="dxa" w:w="2880"/>
          </w:tcPr>
          <w:p>
            <w:r/>
            <w:r>
              <w:rPr>
                <w:b w:val="0"/>
                <w:i w:val="0"/>
              </w:rPr>
              <w:t>5</w:t>
            </w:r>
          </w:p>
        </w:tc>
      </w:tr>
    </w:tbl>
    <w:p/>
    <w:p>
      <w:r>
        <w:rPr>
          <w:b/>
          <w:i w:val="0"/>
        </w:rPr>
        <w:t>76 photographs on 2026-08-26</w:t>
      </w:r>
      <w:r>
        <w:rPr>
          <w:b w:val="0"/>
          <w:i w:val="0"/>
        </w:rPr>
        <w:t xml:space="preserve">, of which 45 were recorded by the two researchers and the rest by the supervisor, who was at the call and at two of the facilities. </w:t>
      </w:r>
      <w:r>
        <w:rPr>
          <w:b/>
          <w:i w:val="0"/>
        </w:rPr>
        <w:t>Two schools count as complete for access</w:t>
      </w:r>
      <w:r>
        <w:rPr>
          <w:b w:val="0"/>
          <w:i w:val="0"/>
        </w:rPr>
        <w:t>: Panyangara Seed Secondary School had its laboratory and stores locked, and Rengen Seed School is under construction and not yet commissioned. Kamoru HC III was open and worked through with no register filled, so that return remains incomplete.</w:t>
      </w:r>
    </w:p>
    <w:p>
      <w:pPr>
        <w:pStyle w:val="Heading1"/>
      </w:pPr>
      <w:r>
        <w:t>2026-08-27</w:t>
      </w:r>
    </w:p>
    <w:p>
      <w:r>
        <w:rPr>
          <w:b w:val="0"/>
          <w:i w:val="0"/>
        </w:rPr>
        <w:t xml:space="preserve">Local government covered: </w:t>
      </w:r>
      <w:r>
        <w:rPr>
          <w:b/>
          <w:i w:val="0"/>
        </w:rPr>
        <w:t>Kotido District</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Researcher</w:t>
            </w:r>
          </w:p>
        </w:tc>
        <w:tc>
          <w:tcPr>
            <w:tcW w:type="dxa" w:w="2880"/>
          </w:tcPr>
          <w:p>
            <w:r>
              <w:rPr>
                <w:b/>
              </w:rPr>
            </w:r>
            <w:r>
              <w:rPr>
                <w:b/>
                <w:i w:val="0"/>
              </w:rPr>
              <w:t>What was covered</w:t>
            </w:r>
          </w:p>
        </w:tc>
        <w:tc>
          <w:tcPr>
            <w:tcW w:type="dxa" w:w="2880"/>
          </w:tcPr>
          <w:p>
            <w:r>
              <w:rPr>
                <w:b/>
              </w:rPr>
            </w:r>
            <w:r>
              <w:rPr>
                <w:b/>
                <w:i w:val="0"/>
              </w:rPr>
              <w:t>Photographs</w:t>
            </w:r>
          </w:p>
        </w:tc>
      </w:tr>
      <w:tr>
        <w:tc>
          <w:tcPr>
            <w:tcW w:type="dxa" w:w="2880"/>
          </w:tcPr>
          <w:p>
            <w:r/>
            <w:r>
              <w:rPr>
                <w:b w:val="0"/>
                <w:i w:val="0"/>
              </w:rPr>
              <w:t>Nalukwata Shadia</w:t>
            </w:r>
          </w:p>
        </w:tc>
        <w:tc>
          <w:tcPr>
            <w:tcW w:type="dxa" w:w="2880"/>
          </w:tcPr>
          <w:p>
            <w:r/>
            <w:r>
              <w:rPr>
                <w:b w:val="0"/>
                <w:i w:val="0"/>
              </w:rPr>
              <w:t>The District Education Officer's sheet of quantities for the programme's items, obtained and sent in early in the day</w:t>
            </w:r>
          </w:p>
        </w:tc>
        <w:tc>
          <w:tcPr>
            <w:tcW w:type="dxa" w:w="2880"/>
          </w:tcPr>
          <w:p>
            <w:r/>
            <w:r>
              <w:rPr>
                <w:b w:val="0"/>
                <w:i w:val="0"/>
              </w:rPr>
              <w:t>1</w:t>
            </w:r>
          </w:p>
        </w:tc>
      </w:tr>
      <w:tr>
        <w:tc>
          <w:tcPr>
            <w:tcW w:type="dxa" w:w="2880"/>
          </w:tcPr>
          <w:p>
            <w:r/>
            <w:r>
              <w:rPr>
                <w:b w:val="0"/>
                <w:i w:val="0"/>
              </w:rPr>
              <w:t>Mworozi Davis</w:t>
            </w:r>
          </w:p>
        </w:tc>
        <w:tc>
          <w:tcPr>
            <w:tcW w:type="dxa" w:w="2880"/>
          </w:tcPr>
          <w:p>
            <w:r/>
            <w:r>
              <w:rPr>
                <w:b w:val="0"/>
                <w:i w:val="0"/>
              </w:rPr>
              <w:t>The delivery note held at Kamoru HC III, sent in during the evening; then on to Kaabong, logged with that district</w:t>
            </w:r>
          </w:p>
        </w:tc>
        <w:tc>
          <w:tcPr>
            <w:tcW w:type="dxa" w:w="2880"/>
          </w:tcPr>
          <w:p>
            <w:r/>
            <w:r>
              <w:rPr>
                <w:b w:val="0"/>
                <w:i w:val="0"/>
              </w:rPr>
              <w:t>3</w:t>
            </w:r>
          </w:p>
        </w:tc>
      </w:tr>
    </w:tbl>
    <w:p/>
    <w:p>
      <w:r>
        <w:rPr>
          <w:b/>
          <w:i w:val="0"/>
        </w:rPr>
        <w:t>4 photographs on 2026-08-27</w:t>
      </w:r>
      <w:r>
        <w:rPr>
          <w:b w:val="0"/>
          <w:i w:val="0"/>
        </w:rPr>
        <w:t>, all of them of paper rather than of assets. Nothing further was verified. Between them the two documents are the whole of what this local government produced in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