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Budaka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Mugiti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by repairing.</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Issues: No school fence. No power supply hence the ICT items are not used. No water source apart from the rain water. The road to the school is in poor condition. All the UgIFT assets are not engraved. No mesh for protection from bats. Benefits: Eased access to Education for the locals. Provided employment opportunities for both formal and informal sectors.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Mugiti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(102)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10th/June/2023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and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None is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Teachers' tables (6)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3 drawers and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10th/June/2023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Round wooden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13th/June/2025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(266)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frame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13th/June/2025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frames and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13th/June/2025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 and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Pin boards (76)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frames mounted on the wall</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18th/June/2025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still in good condition and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Mugiti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 (28)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Could not see them since they were still sealed in their boxes. No power supply.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10th/October/2023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the ICT equipment are still new and in boxes</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There is no power source for the school to use the ICT items hence are all still in boxes.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Mugiti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No burglar proofing. Metallic doors with only outside locks.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Poorly located.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and well built around them on a raised level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but only use rain water, not fully utilised.</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Partitioned in wooden doors.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 good condition but no ceiling, no burglar proofing and the lightning conductors are not well installed.</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Library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burglar proofed only the windows and not doors. No ceilings in the library and the computer lab. There is aluminium cover on the iron sheets from inside.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due to lack of power connection.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Lined pit latrines (2 blocks) (18 stances)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enclosed with vents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use. Some hinges are already spoilt (broken).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houses (3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metallic doors, wooden interior doors, wardrobes, small store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 good condition and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But the lightning conductors were not fully installed hence they don't function.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kitchens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ventilated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fully furnished with 4 fire extinguishers, concrete work tops and open shelves, Gas, metallic boxes for storing apparatus, skeleton, dummy biological organs for study.</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in good condition,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but not fully utilised due to lack of water connection</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 (3) each with 2 classes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metallic doors, blackboard</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10th/June/2025</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some mirrors were broken</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paint is peeling off</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NO POWER: ICT still sealed in boxes; could not see them. Guide and ICT page both write no power supply. All school furniture not engraved.</w:t>
      </w:r>
    </w:p>
    <w:p>
      <w:r>
        <w:t>- Owner of the land not yet compensated (126M). Construction ended 20 March 2025; school started operating 10 June 2025; commissioned 4 Dec 2025.</w:t>
      </w:r>
    </w:p>
    <w:p>
      <w:r>
        <w:t>- Unnamed NEW FINDINGS page (field not complete, school not fenced) does not name the school and was not written into this toolkit.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