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Nakwasi Seed Secondary School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Nakwasi Seed Secondary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Nakwasi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Butaleja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Sophie Nankyanzi, Butsiba Peter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named in the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school was photographed and a hand-filled toolkit that names it is on file. The signboard reads NAKWASI SEED SEC SCH. The guide names NAKWASI; the furniture page names NAKWAJI; the buildings pages name NAKWATI. No visitors' register was seen. No access problem was reported.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as fully owned by the Ugandan Government. No title was produced.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Furniture mostly functional, with about thirty ordinary chairs broken. ICT recorded as functional; computer batteries no longer hold charge. Buildings recorded as functional.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 use. ICT equipment is moved to the administration block in the holidays for safety.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filled pages: administration block, three classroom blocks, a main hall, a science laboratory, an ICT block, six pit latrines, three residential blocks and three water tanks.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district produced no record of assets. The filled pages are the found side: 120 desks, 302 ordinary chairs, 192 stools, 102 ordinary tables, 25 office chairs, 5 office tables, about ten library shelves seen, 28 desktop computers, one projector and one printer, with a second printer out for service. No supplied paper names this school.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Nothing was recorded as engraved. Building lines carry painted names such as Administration Block and SCIENCE LAB rather than an engraved number.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About thirty of 302 ordinary chairs are broken. The make of the furniture is recorded as poor, with weak screws and a rough texture.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school has a maintenance plan and a budget line for repairs, windows and printer servicing. Stock is taken each term. It did not receive an internet package for a year, so the server was not connected. Theft and lack of a fence are recorded as risks.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Settle the three spellings of the school name on its own filled pages.</w:t>
      </w:r>
    </w:p>
    <w:p>
      <w:pPr>
        <w:pStyle w:val="ListBullet"/>
      </w:pPr>
      <w:r>
        <w:rPr>
          <w:b w:val="0"/>
          <w:i w:val="0"/>
        </w:rPr>
        <w:t>Confirm the date engraving will be done and who will do it.</w:t>
      </w:r>
    </w:p>
    <w:p>
      <w:pPr>
        <w:pStyle w:val="ListBullet"/>
      </w:pPr>
      <w:r>
        <w:rPr>
          <w:b w:val="0"/>
          <w:i w:val="0"/>
        </w:rPr>
        <w:t>Confirm where the printer that is out for service now stands.</w:t>
      </w:r>
    </w:p>
    <w:p>
      <w:pPr>
        <w:pStyle w:val="ListBullet"/>
      </w:pPr>
      <w:r>
        <w:rPr>
          <w:b w:val="0"/>
          <w:i w:val="0"/>
        </w:rPr>
        <w:t>Count the library shelves; ten were seen and the total was not certain.</w:t>
      </w:r>
    </w:p>
    <w:p>
      <w:pPr>
        <w:pStyle w:val="ListBullet"/>
      </w:pPr>
      <w:r>
        <w:rPr>
          <w:b w:val="0"/>
          <w:i w:val="0"/>
        </w:rPr>
        <w:t>Confirm the date the team stood here; the photographs reached the record on 31 August and the filled pages on 1 September.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