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Nalubembe HC III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Nalubembe HC III</w:t>
            </w:r>
          </w:p>
        </w:tc>
      </w:tr>
      <w:tr>
        <w:tc>
          <w:tcPr>
            <w:tcW w:type="dxa" w:w="4320"/>
          </w:tcPr>
          <w:p>
            <w:r/>
            <w:r>
              <w:rPr>
                <w:b w:val="0"/>
                <w:i w:val="0"/>
              </w:rPr>
              <w:t>Named on the programme list</w:t>
            </w:r>
          </w:p>
        </w:tc>
        <w:tc>
          <w:tcPr>
            <w:tcW w:type="dxa" w:w="4320"/>
          </w:tcPr>
          <w:p>
            <w:r/>
            <w:r>
              <w:rPr>
                <w:b w:val="0"/>
                <w:i w:val="0"/>
              </w:rPr>
              <w:t>Nalubembe HC II</w:t>
            </w:r>
          </w:p>
        </w:tc>
      </w:tr>
      <w:tr>
        <w:tc>
          <w:tcPr>
            <w:tcW w:type="dxa" w:w="4320"/>
          </w:tcPr>
          <w:p>
            <w:r/>
            <w:r>
              <w:rPr>
                <w:b w:val="0"/>
                <w:i w:val="0"/>
              </w:rPr>
              <w:t>Type</w:t>
            </w:r>
          </w:p>
        </w:tc>
        <w:tc>
          <w:tcPr>
            <w:tcW w:type="dxa" w:w="4320"/>
          </w:tcPr>
          <w:p>
            <w:r/>
            <w:r>
              <w:rPr>
                <w:b w:val="0"/>
                <w:i w:val="0"/>
              </w:rPr>
              <w:t>Health centre</w:t>
            </w:r>
          </w:p>
        </w:tc>
      </w:tr>
      <w:tr>
        <w:tc>
          <w:tcPr>
            <w:tcW w:type="dxa" w:w="4320"/>
          </w:tcPr>
          <w:p>
            <w:r/>
            <w:r>
              <w:rPr>
                <w:b w:val="0"/>
                <w:i w:val="0"/>
              </w:rPr>
              <w:t>Local government</w:t>
            </w:r>
          </w:p>
        </w:tc>
        <w:tc>
          <w:tcPr>
            <w:tcW w:type="dxa" w:w="4320"/>
          </w:tcPr>
          <w:p>
            <w:r/>
            <w:r>
              <w:rPr>
                <w:b w:val="0"/>
                <w:i w:val="0"/>
              </w:rPr>
              <w:t>Kibuku District</w:t>
            </w:r>
          </w:p>
        </w:tc>
      </w:tr>
      <w:tr>
        <w:tc>
          <w:tcPr>
            <w:tcW w:type="dxa" w:w="4320"/>
          </w:tcPr>
          <w:p>
            <w:r/>
            <w:r>
              <w:rPr>
                <w:b w:val="0"/>
                <w:i w:val="0"/>
              </w:rPr>
              <w:t>Region / sub-region</w:t>
            </w:r>
          </w:p>
        </w:tc>
        <w:tc>
          <w:tcPr>
            <w:tcW w:type="dxa" w:w="4320"/>
          </w:tcPr>
          <w:p>
            <w:r/>
            <w:r>
              <w:rPr>
                <w:b w:val="0"/>
                <w:i w:val="0"/>
              </w:rPr>
              <w:t>Eastern / Bukedi</w:t>
            </w:r>
          </w:p>
        </w:tc>
      </w:tr>
      <w:tr>
        <w:tc>
          <w:tcPr>
            <w:tcW w:type="dxa" w:w="4320"/>
          </w:tcPr>
          <w:p>
            <w:r/>
            <w:r>
              <w:rPr>
                <w:b w:val="0"/>
                <w:i w:val="0"/>
              </w:rPr>
              <w:t>Date of visit</w:t>
            </w:r>
          </w:p>
        </w:tc>
        <w:tc>
          <w:tcPr>
            <w:tcW w:type="dxa" w:w="4320"/>
          </w:tcPr>
          <w:p>
            <w:r/>
            <w:r>
              <w:rPr>
                <w:b w:val="0"/>
                <w:i w:val="0"/>
              </w:rPr>
              <w:t>2026-08-25 or 2026-08-26</w:t>
            </w:r>
          </w:p>
        </w:tc>
      </w:tr>
      <w:tr>
        <w:tc>
          <w:tcPr>
            <w:tcW w:type="dxa" w:w="4320"/>
          </w:tcPr>
          <w:p>
            <w:r/>
            <w:r>
              <w:rPr>
                <w:b w:val="0"/>
                <w:i w:val="0"/>
              </w:rPr>
              <w:t>Team members present</w:t>
            </w:r>
          </w:p>
        </w:tc>
        <w:tc>
          <w:tcPr>
            <w:tcW w:type="dxa" w:w="4320"/>
          </w:tcPr>
          <w:p>
            <w:r/>
            <w:r>
              <w:rPr>
                <w:b w:val="0"/>
                <w:i w:val="0"/>
              </w:rPr>
              <w:t>One member, the same who worked Kasasira Seed Secondary School</w:t>
            </w:r>
          </w:p>
        </w:tc>
      </w:tr>
      <w:tr>
        <w:tc>
          <w:tcPr>
            <w:tcW w:type="dxa" w:w="4320"/>
          </w:tcPr>
          <w:p>
            <w:r/>
            <w:r>
              <w:rPr>
                <w:b w:val="0"/>
                <w:i w:val="0"/>
              </w:rPr>
              <w:t>Informant interviewed</w:t>
            </w:r>
          </w:p>
        </w:tc>
        <w:tc>
          <w:tcPr>
            <w:tcW w:type="dxa" w:w="4320"/>
          </w:tcPr>
          <w:p>
            <w:r/>
            <w:r>
              <w:rPr>
                <w:b w:val="0"/>
                <w:i w:val="0"/>
              </w:rPr>
              <w:t>Not named. The facility's copy of the supplier's schedule was produced and gone through</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 of submission</w:t>
            </w:r>
          </w:p>
        </w:tc>
        <w:tc>
          <w:tcPr>
            <w:tcW w:type="dxa" w:w="4320"/>
          </w:tcPr>
          <w:p>
            <w:r/>
          </w:p>
        </w:tc>
      </w:tr>
    </w:tbl>
    <w:p/>
    <w:p>
      <w:pPr>
        <w:pStyle w:val="Heading1"/>
      </w:pPr>
      <w:r>
        <w:t>2. Entry</w:t>
      </w:r>
    </w:p>
    <w:p>
      <w:r>
        <w:rPr>
          <w:b w:val="0"/>
          <w:i w:val="0"/>
        </w:rPr>
        <w:t>The facility was reached after the district call of 24 August, on one of the two days that follow it. It produced the district's UgIFT medical equipment schedule with its own column on it, and the wards, laboratory, treatment rooms and stores were gone round against that. Who received the member is not recorded, no visitors' register was seen, and no access problem was reported.</w:t>
      </w:r>
    </w:p>
    <w:p>
      <w:pPr>
        <w:pStyle w:val="Heading1"/>
      </w:pPr>
      <w:r>
        <w:t>3. Condition and status</w:t>
      </w:r>
    </w:p>
    <w:p>
      <w:r>
        <w:rPr>
          <w:b w:val="0"/>
          <w:i w:val="0"/>
        </w:rPr>
        <w:t>The four things the exercise exists to establish. Only what was established on site appears here; the rest is marked as not reported, not guessed.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established at the facility. No land title or ownership document was produced and nobody was recorded stating who owns the assets. The district holds hospital land and seven building lines against this facility, which is the district's record and not a statement made here.</w:t>
            </w:r>
          </w:p>
        </w:tc>
      </w:tr>
      <w:tr>
        <w:tc>
          <w:tcPr>
            <w:tcW w:type="dxa" w:w="4320"/>
          </w:tcPr>
          <w:p>
            <w:r/>
            <w:r>
              <w:rPr>
                <w:b w:val="0"/>
                <w:i w:val="0"/>
              </w:rPr>
              <w:t>Functionality</w:t>
            </w:r>
          </w:p>
        </w:tc>
        <w:tc>
          <w:tcPr>
            <w:tcW w:type="dxa" w:w="4320"/>
          </w:tcPr>
          <w:p>
            <w:r/>
            <w:r>
              <w:rPr>
                <w:b w:val="0"/>
                <w:i w:val="0"/>
              </w:rPr>
              <w:t>Not reported. Nothing here was recorded as working or not working. No machine was switched on in front of the member and no breakdown record was seen.</w:t>
            </w:r>
          </w:p>
        </w:tc>
      </w:tr>
      <w:tr>
        <w:tc>
          <w:tcPr>
            <w:tcW w:type="dxa" w:w="4320"/>
          </w:tcPr>
          <w:p>
            <w:r/>
            <w:r>
              <w:rPr>
                <w:b w:val="0"/>
                <w:i w:val="0"/>
              </w:rPr>
              <w:t>Usage / performance</w:t>
            </w:r>
          </w:p>
        </w:tc>
        <w:tc>
          <w:tcPr>
            <w:tcW w:type="dxa" w:w="4320"/>
          </w:tcPr>
          <w:p>
            <w:r/>
            <w:r>
              <w:rPr>
                <w:b w:val="0"/>
                <w:i w:val="0"/>
              </w:rPr>
              <w:t>Mostly not in use. The facility reported that the assets are there, that most of the medical equipment has not been put to use because it is not engraved, and that it therefore stands in the boxes it came in; some has been put to use. What was seen bears that out: cartons of oxygen therapy apparatus, suction apparatus and a refrigerator stand unopened in the store, and bed frames are stacked in a room, while the cots, couches, scales and office furniture are out and standing.</w:t>
            </w:r>
          </w:p>
        </w:tc>
      </w:tr>
      <w:tr>
        <w:tc>
          <w:tcPr>
            <w:tcW w:type="dxa" w:w="4320"/>
          </w:tcPr>
          <w:p>
            <w:r/>
            <w:r>
              <w:rPr>
                <w:b w:val="0"/>
                <w:i w:val="0"/>
              </w:rPr>
              <w:t>Location</w:t>
            </w:r>
          </w:p>
        </w:tc>
        <w:tc>
          <w:tcPr>
            <w:tcW w:type="dxa" w:w="4320"/>
          </w:tcPr>
          <w:p>
            <w:r/>
            <w:r>
              <w:rPr>
                <w:b w:val="0"/>
                <w:i w:val="0"/>
              </w:rPr>
              <w:t>Recorded room by room as far as it was seen. The unopened cartons and the stacked bed frames are in the store; the cots, drip stands and clocks in the ward; the microscope and centrifuge in the laboratory, the microscope standing on the floor; and the water tank outside on a steel tower.</w:t>
            </w:r>
          </w:p>
        </w:tc>
      </w:tr>
    </w:tbl>
    <w:p/>
    <w:p>
      <w:pPr>
        <w:pStyle w:val="Heading1"/>
      </w:pPr>
      <w:r>
        <w:t>4. Supplied against found</w:t>
      </w:r>
    </w:p>
    <w:p>
      <w:r>
        <w:rPr>
          <w:b w:val="0"/>
          <w:i w:val="0"/>
        </w:rPr>
        <w:t>This is the only facility in the district with a UgIFT supplied side of its own, and it is a full one.</w:t>
      </w:r>
    </w:p>
    <w:p>
      <w:r>
        <w:rPr>
          <w:b w:val="0"/>
          <w:i w:val="0"/>
        </w:rPr>
        <w:t>The facility holds its own column of the schedule the district was given for the whole of Kibuku: Assorted medical equipment for Kibuku District, UgIFT financial year 2024/2025, medical equipment procurement for 195 health facilities across the country, facilities lotting and priority equipment list. That column is headed Nalubembe HC II (Kibuku) and carries 62 lines and a total of 164 items. Among them:</w:t>
      </w:r>
    </w:p>
    <w:p>
      <w:pPr>
        <w:pStyle w:val="ListBullet"/>
      </w:pPr>
      <w:r>
        <w:rPr>
          <w:b w:val="0"/>
          <w:i w:val="0"/>
        </w:rPr>
        <w:t>Two aneroid wall-mounted blood pressure machines, two kick bowls, one bowl stand, two Neubauer improved counting chambers, two lockable steel cupboards, two drip stands and eight ESR stands.</w:t>
      </w:r>
    </w:p>
    <w:p>
      <w:pPr>
        <w:pStyle w:val="ListBullet"/>
      </w:pPr>
      <w:r>
        <w:rPr>
          <w:b w:val="0"/>
          <w:i w:val="0"/>
        </w:rPr>
        <w:t>Two diagnostic equipment sets for maternal and child health, two for the outpatient department, three for the ward, two basic laboratory glassware sets, two dressing instrument sets, three basic ENT instrument sets and two hand-held pulse oximeters.</w:t>
      </w:r>
    </w:p>
    <w:p>
      <w:pPr>
        <w:pStyle w:val="ListBullet"/>
      </w:pPr>
      <w:r>
        <w:rPr>
          <w:b w:val="0"/>
          <w:i w:val="0"/>
        </w:rPr>
        <w:t>Ten adult patient beds with mattresses, three ward treatment hollow ware sets, three delivery instrument sets, four stitch-removing instrument sets, one reusable MVA kit, three laboratory stools, two penguin suckers, two fetal dopplers, two bubble CPAP units, one electric centrifuge, six medical waste bins, four wall clocks and two filing cabinets.</w:t>
      </w:r>
    </w:p>
    <w:p>
      <w:r>
        <w:rPr>
          <w:b w:val="0"/>
          <w:i w:val="0"/>
        </w:rPr>
        <w:t xml:space="preserve">Figures have been written by hand under that schedule against about a dozen of its lines. They are an annotation on a supplied record and not a count made on the day, so nothing is read off them here. </w:t>
      </w:r>
      <w:r>
        <w:rPr>
          <w:b/>
          <w:i w:val="0"/>
        </w:rPr>
        <w:t>No count was made</w:t>
      </w:r>
      <w:r>
        <w:rPr>
          <w:b w:val="0"/>
          <w:i w:val="0"/>
        </w:rPr>
        <w:t>, and the 164 items therefore stand against nothing. Separately, the district's own record of assets carries twenty-two patient beds, three waste bins, two chairs, two weighing scales, a television and one each of nine other items against this facility, and that list does not carry the diagnostic sets, instrument sets, dopplers, bubble CPAP units, oximeters, counting chambers or steel cupboards the schedule says were supplied.</w:t>
      </w:r>
    </w:p>
    <w:p>
      <w:pPr>
        <w:pStyle w:val="Heading1"/>
      </w:pPr>
      <w:r>
        <w:t>5. Engraving and identification</w:t>
      </w:r>
    </w:p>
    <w:p>
      <w:r>
        <w:rPr>
          <w:b w:val="0"/>
          <w:i w:val="0"/>
        </w:rPr>
        <w:t>Nothing at this facility is engraved. The team reported the assets present and unmarked, and no engraved number, asset number or serial number appears on any item seen. The facility gave that as the reason its medical equipment is still in its boxes.</w:t>
      </w:r>
    </w:p>
    <w:p>
      <w:pPr>
        <w:pStyle w:val="Heading1"/>
      </w:pPr>
      <w:r>
        <w:t>6. Obsolete, unserviceable or for disposal</w:t>
      </w:r>
    </w:p>
    <w:p>
      <w:r>
        <w:rPr>
          <w:b w:val="0"/>
          <w:i w:val="0"/>
        </w:rPr>
        <w:t>Nothing was named as obsolete, unserviceable or for disposal. One defect was recorded: an examination couch whose cover is torn across the top.</w:t>
      </w:r>
    </w:p>
    <w:p>
      <w:pPr>
        <w:pStyle w:val="Heading1"/>
      </w:pPr>
      <w:r>
        <w:t>7. Operation and maintenance</w:t>
      </w:r>
    </w:p>
    <w:p>
      <w:r>
        <w:rPr>
          <w:b w:val="0"/>
          <w:i w:val="0"/>
        </w:rPr>
        <w:t>What the facility reported:</w:t>
      </w:r>
    </w:p>
    <w:p>
      <w:pPr>
        <w:pStyle w:val="ListBullet"/>
      </w:pPr>
      <w:r>
        <w:rPr>
          <w:b w:val="0"/>
          <w:i w:val="0"/>
        </w:rPr>
        <w:t>The assets were received and are present, and none of them is engraved.</w:t>
      </w:r>
    </w:p>
    <w:p>
      <w:pPr>
        <w:pStyle w:val="ListBullet"/>
      </w:pPr>
      <w:r>
        <w:rPr>
          <w:b w:val="0"/>
          <w:i w:val="0"/>
        </w:rPr>
        <w:t>Most of the medical equipment has not been put to use because it has not been engraved, so it is still in the boxes it came in.</w:t>
      </w:r>
    </w:p>
    <w:p>
      <w:pPr>
        <w:pStyle w:val="ListBullet"/>
      </w:pPr>
      <w:r>
        <w:rPr>
          <w:b w:val="0"/>
          <w:i w:val="0"/>
        </w:rPr>
        <w:t>Some of it has been put to use.</w:t>
      </w:r>
    </w:p>
    <w:p>
      <w:r>
        <w:rPr>
          <w:b w:val="0"/>
          <w:i w:val="0"/>
        </w:rPr>
        <w:t>Nothing else was reported. Whether the facility keeps a record of its UgIFT assets beyond the supplier's schedule, how it maintains and repairs them, whether it records functionality and breakdown, and what the UgIFT support has done for the service here were all left unanswered, so questions 1a, 2, 3 and 4 of the discussion guide were left unanswered on the first visit. The filled toolkit later answered them.</w:t>
      </w:r>
    </w:p>
    <w:p>
      <w:pPr>
        <w:pStyle w:val="Heading1"/>
      </w:pPr>
      <w:r>
        <w:t>8. Queries</w:t>
      </w:r>
    </w:p>
    <w:p>
      <w:pPr>
        <w:pStyle w:val="ListBullet"/>
      </w:pPr>
      <w:r>
        <w:rPr>
          <w:b w:val="0"/>
          <w:i w:val="0"/>
        </w:rPr>
        <w:t>The hand-filled toolkit names this facility. Finish the blank cells on those pages and settle what should be engraved.</w:t>
      </w:r>
    </w:p>
    <w:p>
      <w:pPr>
        <w:pStyle w:val="ListBullet"/>
      </w:pPr>
      <w:r>
        <w:rPr>
          <w:b w:val="0"/>
          <w:i w:val="0"/>
        </w:rPr>
        <w:t>Count the facility against the 62 lines and 164 items of the supplier's schedule, which is the fullest supplied side in this district.</w:t>
      </w:r>
    </w:p>
    <w:p>
      <w:pPr>
        <w:pStyle w:val="ListBullet"/>
      </w:pPr>
      <w:r>
        <w:rPr>
          <w:b w:val="0"/>
          <w:i w:val="0"/>
        </w:rPr>
        <w:t>Treat the figures written by hand on that schedule as unconfirmed until a count is made, and record who wrote them and when.</w:t>
      </w:r>
    </w:p>
    <w:p>
      <w:pPr>
        <w:pStyle w:val="ListBullet"/>
      </w:pPr>
      <w:r>
        <w:rPr>
          <w:b w:val="0"/>
          <w:i w:val="0"/>
        </w:rPr>
        <w:t>Engrave the equipment: the facility gives the want of engraving as its reason for leaving most of it boxed.</w:t>
      </w:r>
    </w:p>
    <w:p>
      <w:pPr>
        <w:pStyle w:val="ListBullet"/>
      </w:pPr>
      <w:r>
        <w:rPr>
          <w:b w:val="0"/>
          <w:i w:val="0"/>
        </w:rPr>
        <w:t>Open, count and take on charge the oxygen therapy apparatus, the suction apparatus, the refrigerator and the stacked bed frames.</w:t>
      </w:r>
    </w:p>
    <w:p>
      <w:pPr>
        <w:pStyle w:val="ListBullet"/>
      </w:pPr>
      <w:r>
        <w:rPr>
          <w:b w:val="0"/>
          <w:i w:val="0"/>
        </w:rPr>
        <w:t>Record the serial numbers of the microscope, the centrifuge and the diagnostic sets, none of which was taken.</w:t>
      </w:r>
    </w:p>
    <w:p>
      <w:pPr>
        <w:pStyle w:val="ListBullet"/>
      </w:pPr>
      <w:r>
        <w:rPr>
          <w:b w:val="0"/>
          <w:i w:val="0"/>
        </w:rPr>
        <w:t>Reconcile the supplier's schedule with the district's own record, which carries none of the diagnostic sets, instrument sets or cupboards on it.</w:t>
      </w:r>
    </w:p>
    <w:p>
      <w:pPr>
        <w:pStyle w:val="ListBullet"/>
      </w:pPr>
      <w:r>
        <w:rPr>
          <w:b w:val="0"/>
          <w:i w:val="0"/>
        </w:rPr>
        <w:t>Repair or replace the examination couch whose cover is torn.</w:t>
      </w:r>
    </w:p>
    <w:p>
      <w:pPr>
        <w:pStyle w:val="ListBullet"/>
      </w:pPr>
      <w:r>
        <w:rPr>
          <w:b w:val="0"/>
          <w:i w:val="0"/>
        </w:rPr>
        <w:t>Confirm the designation and the spelling of the level: the programme list and the supplier's schedule both read level II and the signboard reads level III.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