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Bududa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The facility holds a record of the assets provided under UgIFT.</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Through monthly budget plans, and the budget plans are updated yearly.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through facility budget plans.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brought services near to the community, improved development in general, and given employment for staff. Challenges: limited space and land to develop more structures such as male wards and staff houses; darkness, with no electricity; poor roads leading to poor access to the facility; and limited or under staffing. Recommendations: provide a hard to reach allowance, and build more structures such as men's or male wards.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Bududa District        NAME OF HEALTH FACILITY: Bududa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&amp;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cost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&amp;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899,000/=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150,000/=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299,800/=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1,353,000/=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190,000/=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and the cost columns.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261,500/=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Came with expired strips.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and the cost columns.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and the cost columns.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741,000/=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1,400,000/=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column and no cost or status is written.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469,500/=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column and no cost or status is written.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&amp;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Kitchen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498,500/=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463,500/=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610,000/=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155,000/=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faulty or not working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cost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14,006,496/=</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leading figure of the cost is written over.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443,352/=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29,841,218/=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547,310/=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1,681,680/=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627,381/=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cost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&amp;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cost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damaged or faulty</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cost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1,801,500/=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5,500,000/=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(4)</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Theatre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1,900,000/=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(11)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583,500/=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760,000/= each</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price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963,144/=</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3,464,643/=</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768,504/=</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627,381/=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(3)</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price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11,700,000/=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(2)</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and the cost columns.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(15)</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stands in the count column and no cost or status is written.</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695,000/=</w:t>
            </w: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745,000/=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2,595,000/=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(5)</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 and all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(2)</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A dash stands in the count column against the LED examination light, the digital haemoglobin meter, the height meter, the otoscope, the patient trolley, the stop watch, the basic ENT instrument set and the incubator, so nothing at those eight lines can be set against what was supplied.</w:t>
      </w:r>
    </w:p>
    <w:p>
      <w:r>
        <w:t>- The cost written against the OPD diagnostic equipment set has its leading figure written over, so the value does not resolve to one figure.</w:t>
      </w:r>
    </w:p>
    <w:p>
      <w:r>
        <w:t>- Prices are missing on the digital blood pressure machine, the MCH diagnostic set, the hand held pulse oximeter, the pediatric beds, the bedside lockers, the disinfection buckets and the bubble CPAP, and the buildings carry no value at all.</w:t>
      </w:r>
    </w:p>
    <w:p>
      <w:r>
        <w:t>- The four glucometers came with expired strips, which is for the supplier and the district.</w:t>
      </w:r>
    </w:p>
    <w:p>
      <w:r>
        <w:t>- One of the twenty bedside lockers is damaged and one of the seven wall clocks does not work.</w:t>
      </w:r>
    </w:p>
    <w:p>
      <w:r>
        <w:t>- The stop watch was not received.</w:t>
      </w:r>
    </w:p>
    <w:p>
      <w:r>
        <w:t>- No engraved number or serial number is written against any line, so no item at this facility can be identified again.</w:t>
      </w:r>
    </w:p>
    <w:p>
      <w:r>
        <w:t>- The supervisor block and the date of submission are blank on the cover. Filled toolkit output uses Kassim Luminsa and +256 702 806116 per RULES.md 3.15, and leaves the date of submission blank.</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