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Bumusi HC III - facility report</w:t>
      </w:r>
    </w:p>
    <w:p>
      <w:pPr>
        <w:pStyle w:val="Heading1"/>
      </w:pPr>
      <w:r>
        <w:t>1. Identification</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Facility</w:t>
            </w:r>
          </w:p>
        </w:tc>
        <w:tc>
          <w:tcPr>
            <w:tcW w:type="dxa" w:w="4320"/>
          </w:tcPr>
          <w:p>
            <w:r>
              <w:rPr>
                <w:b/>
              </w:rPr>
            </w:r>
            <w:r>
              <w:rPr>
                <w:b/>
                <w:i w:val="0"/>
              </w:rPr>
              <w:t>Bumusi HC III</w:t>
            </w:r>
          </w:p>
        </w:tc>
      </w:tr>
      <w:tr>
        <w:tc>
          <w:tcPr>
            <w:tcW w:type="dxa" w:w="4320"/>
          </w:tcPr>
          <w:p>
            <w:r/>
            <w:r>
              <w:rPr>
                <w:b w:val="0"/>
                <w:i w:val="0"/>
              </w:rPr>
              <w:t>Named on the programme list</w:t>
            </w:r>
          </w:p>
        </w:tc>
        <w:tc>
          <w:tcPr>
            <w:tcW w:type="dxa" w:w="4320"/>
          </w:tcPr>
          <w:p>
            <w:r/>
            <w:r>
              <w:rPr>
                <w:b w:val="0"/>
                <w:i w:val="0"/>
              </w:rPr>
              <w:t>Bumusi HC II</w:t>
            </w:r>
          </w:p>
        </w:tc>
      </w:tr>
      <w:tr>
        <w:tc>
          <w:tcPr>
            <w:tcW w:type="dxa" w:w="4320"/>
          </w:tcPr>
          <w:p>
            <w:r/>
            <w:r>
              <w:rPr>
                <w:b w:val="0"/>
                <w:i w:val="0"/>
              </w:rPr>
              <w:t>Type</w:t>
            </w:r>
          </w:p>
        </w:tc>
        <w:tc>
          <w:tcPr>
            <w:tcW w:type="dxa" w:w="4320"/>
          </w:tcPr>
          <w:p>
            <w:r/>
            <w:r>
              <w:rPr>
                <w:b w:val="0"/>
                <w:i w:val="0"/>
              </w:rPr>
              <w:t>Health centre</w:t>
            </w:r>
          </w:p>
        </w:tc>
      </w:tr>
      <w:tr>
        <w:tc>
          <w:tcPr>
            <w:tcW w:type="dxa" w:w="4320"/>
          </w:tcPr>
          <w:p>
            <w:r/>
            <w:r>
              <w:rPr>
                <w:b w:val="0"/>
                <w:i w:val="0"/>
              </w:rPr>
              <w:t>Local government</w:t>
            </w:r>
          </w:p>
        </w:tc>
        <w:tc>
          <w:tcPr>
            <w:tcW w:type="dxa" w:w="4320"/>
          </w:tcPr>
          <w:p>
            <w:r/>
            <w:r>
              <w:rPr>
                <w:b w:val="0"/>
                <w:i w:val="0"/>
              </w:rPr>
              <w:t>Bududa District</w:t>
            </w:r>
          </w:p>
        </w:tc>
      </w:tr>
      <w:tr>
        <w:tc>
          <w:tcPr>
            <w:tcW w:type="dxa" w:w="4320"/>
          </w:tcPr>
          <w:p>
            <w:r/>
            <w:r>
              <w:rPr>
                <w:b w:val="0"/>
                <w:i w:val="0"/>
              </w:rPr>
              <w:t>Region / sub-region</w:t>
            </w:r>
          </w:p>
        </w:tc>
        <w:tc>
          <w:tcPr>
            <w:tcW w:type="dxa" w:w="4320"/>
          </w:tcPr>
          <w:p>
            <w:r/>
            <w:r>
              <w:rPr>
                <w:b w:val="0"/>
                <w:i w:val="0"/>
              </w:rPr>
              <w:t>Eastern / Elgon</w:t>
            </w:r>
          </w:p>
        </w:tc>
      </w:tr>
      <w:tr>
        <w:tc>
          <w:tcPr>
            <w:tcW w:type="dxa" w:w="4320"/>
          </w:tcPr>
          <w:p>
            <w:r/>
            <w:r>
              <w:rPr>
                <w:b w:val="0"/>
                <w:i w:val="0"/>
              </w:rPr>
              <w:t>Date of visit</w:t>
            </w:r>
          </w:p>
        </w:tc>
        <w:tc>
          <w:tcPr>
            <w:tcW w:type="dxa" w:w="4320"/>
          </w:tcPr>
          <w:p>
            <w:r/>
            <w:r>
              <w:rPr>
                <w:b w:val="0"/>
                <w:i w:val="0"/>
              </w:rPr>
              <w:t>2026-08-31</w:t>
            </w:r>
          </w:p>
        </w:tc>
      </w:tr>
      <w:tr>
        <w:tc>
          <w:tcPr>
            <w:tcW w:type="dxa" w:w="4320"/>
          </w:tcPr>
          <w:p>
            <w:r/>
            <w:r>
              <w:rPr>
                <w:b w:val="0"/>
                <w:i w:val="0"/>
              </w:rPr>
              <w:t>Team members present</w:t>
            </w:r>
          </w:p>
        </w:tc>
        <w:tc>
          <w:tcPr>
            <w:tcW w:type="dxa" w:w="4320"/>
          </w:tcPr>
          <w:p>
            <w:r/>
            <w:r>
              <w:rPr>
                <w:b w:val="0"/>
                <w:i w:val="0"/>
              </w:rPr>
              <w:t>Asio Miriam Joyce, who recorded the visit</w:t>
            </w:r>
          </w:p>
        </w:tc>
      </w:tr>
      <w:tr>
        <w:tc>
          <w:tcPr>
            <w:tcW w:type="dxa" w:w="4320"/>
          </w:tcPr>
          <w:p>
            <w:r/>
            <w:r>
              <w:rPr>
                <w:b w:val="0"/>
                <w:i w:val="0"/>
              </w:rPr>
              <w:t>Informant interviewed</w:t>
            </w:r>
          </w:p>
        </w:tc>
        <w:tc>
          <w:tcPr>
            <w:tcW w:type="dxa" w:w="4320"/>
          </w:tcPr>
          <w:p>
            <w:r/>
            <w:r>
              <w:rPr>
                <w:b w:val="0"/>
                <w:i w:val="0"/>
              </w:rPr>
              <w:t>Nabulenge Juliet, nurse, standing in for the in-charge Mr. Charles</w:t>
            </w:r>
          </w:p>
        </w:tc>
      </w:tr>
      <w:tr>
        <w:tc>
          <w:tcPr>
            <w:tcW w:type="dxa" w:w="4320"/>
          </w:tcPr>
          <w:p>
            <w:r/>
            <w:r>
              <w:rPr>
                <w:b w:val="0"/>
                <w:i w:val="0"/>
              </w:rPr>
              <w:t>Supervisor</w:t>
            </w:r>
          </w:p>
        </w:tc>
        <w:tc>
          <w:tcPr>
            <w:tcW w:type="dxa" w:w="4320"/>
          </w:tcPr>
          <w:p>
            <w:r/>
            <w:r>
              <w:rPr>
                <w:b w:val="0"/>
                <w:i w:val="0"/>
              </w:rPr>
              <w:t>Kassim Luminsa</w:t>
            </w:r>
          </w:p>
        </w:tc>
      </w:tr>
      <w:tr>
        <w:tc>
          <w:tcPr>
            <w:tcW w:type="dxa" w:w="4320"/>
          </w:tcPr>
          <w:p>
            <w:r/>
            <w:r>
              <w:rPr>
                <w:b w:val="0"/>
                <w:i w:val="0"/>
              </w:rPr>
              <w:t>Supervisor's contact</w:t>
            </w:r>
          </w:p>
        </w:tc>
        <w:tc>
          <w:tcPr>
            <w:tcW w:type="dxa" w:w="4320"/>
          </w:tcPr>
          <w:p>
            <w:r/>
            <w:r>
              <w:rPr>
                <w:b w:val="0"/>
                <w:i w:val="0"/>
              </w:rPr>
              <w:t>+256 702 806116</w:t>
            </w:r>
          </w:p>
        </w:tc>
      </w:tr>
      <w:tr>
        <w:tc>
          <w:tcPr>
            <w:tcW w:type="dxa" w:w="4320"/>
          </w:tcPr>
          <w:p>
            <w:r/>
            <w:r>
              <w:rPr>
                <w:b w:val="0"/>
                <w:i w:val="0"/>
              </w:rPr>
              <w:t>Date of submission</w:t>
            </w:r>
          </w:p>
        </w:tc>
        <w:tc>
          <w:tcPr>
            <w:tcW w:type="dxa" w:w="4320"/>
          </w:tcPr>
          <w:p>
            <w:r/>
          </w:p>
        </w:tc>
      </w:tr>
    </w:tbl>
    <w:p/>
    <w:p>
      <w:pPr>
        <w:pStyle w:val="Heading1"/>
      </w:pPr>
      <w:r>
        <w:t>2. Entry</w:t>
      </w:r>
    </w:p>
    <w:p>
      <w:r>
        <w:rPr>
          <w:b w:val="0"/>
          <w:i w:val="0"/>
        </w:rPr>
        <w:t>The in-charge was out. Nurse Nabulenge Juliet took the team round. The signboard reads BUMUSI HEALTH CENTRE III, services free of charge. No visitors' register was photographed.</w:t>
      </w:r>
    </w:p>
    <w:p>
      <w:pPr>
        <w:pStyle w:val="Heading1"/>
      </w:pPr>
      <w:r>
        <w:t>3. Condition and status</w:t>
      </w:r>
    </w:p>
    <w:p>
      <w:r>
        <w:rPr>
          <w:b w:val="0"/>
          <w:i w:val="0"/>
        </w:rPr>
        <w:t>The four things this exercise is here to settle. What follows is what the visit established and nothing else; where it established nothing, the row says not reported.</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Dimension</w:t>
            </w:r>
          </w:p>
        </w:tc>
        <w:tc>
          <w:tcPr>
            <w:tcW w:type="dxa" w:w="4320"/>
          </w:tcPr>
          <w:p>
            <w:r>
              <w:rPr>
                <w:b/>
              </w:rPr>
            </w:r>
            <w:r>
              <w:rPr>
                <w:b/>
                <w:i w:val="0"/>
              </w:rPr>
              <w:t>What was established on site</w:t>
            </w:r>
          </w:p>
        </w:tc>
      </w:tr>
      <w:tr>
        <w:tc>
          <w:tcPr>
            <w:tcW w:type="dxa" w:w="4320"/>
          </w:tcPr>
          <w:p>
            <w:r/>
            <w:r>
              <w:rPr>
                <w:b w:val="0"/>
                <w:i w:val="0"/>
              </w:rPr>
              <w:t>Ownership</w:t>
            </w:r>
          </w:p>
        </w:tc>
        <w:tc>
          <w:tcPr>
            <w:tcW w:type="dxa" w:w="4320"/>
          </w:tcPr>
          <w:p>
            <w:r/>
            <w:r>
              <w:rPr>
                <w:b w:val="0"/>
                <w:i w:val="0"/>
              </w:rPr>
              <w:t>Not reported. No title or ownership document was recorded.</w:t>
            </w:r>
          </w:p>
        </w:tc>
      </w:tr>
      <w:tr>
        <w:tc>
          <w:tcPr>
            <w:tcW w:type="dxa" w:w="4320"/>
          </w:tcPr>
          <w:p>
            <w:r/>
            <w:r>
              <w:rPr>
                <w:b w:val="0"/>
                <w:i w:val="0"/>
              </w:rPr>
              <w:t>Functionality</w:t>
            </w:r>
          </w:p>
        </w:tc>
        <w:tc>
          <w:tcPr>
            <w:tcW w:type="dxa" w:w="4320"/>
          </w:tcPr>
          <w:p>
            <w:r/>
            <w:r>
              <w:rPr>
                <w:b w:val="0"/>
                <w:i w:val="0"/>
              </w:rPr>
              <w:t>Reported line by line on the hand-filled booklet, which records almost every line as working. The solar cannot last a night. The water tank is raised, so water drains to the lower parts and the maternal and child health department is left without it.</w:t>
            </w:r>
          </w:p>
        </w:tc>
      </w:tr>
      <w:tr>
        <w:tc>
          <w:tcPr>
            <w:tcW w:type="dxa" w:w="4320"/>
          </w:tcPr>
          <w:p>
            <w:r/>
            <w:r>
              <w:rPr>
                <w:b w:val="0"/>
                <w:i w:val="0"/>
              </w:rPr>
              <w:t>Usage / performance</w:t>
            </w:r>
          </w:p>
        </w:tc>
        <w:tc>
          <w:tcPr>
            <w:tcW w:type="dxa" w:w="4320"/>
          </w:tcPr>
          <w:p>
            <w:r/>
            <w:r>
              <w:rPr>
                <w:b w:val="0"/>
                <w:i w:val="0"/>
              </w:rPr>
              <w:t>Reported for the facility. Services and the buildings have improved. Staff are few for the number of clients. There is no fence, so the community uses the water and the pit latrines. Store space is short.</w:t>
            </w:r>
          </w:p>
        </w:tc>
      </w:tr>
      <w:tr>
        <w:tc>
          <w:tcPr>
            <w:tcW w:type="dxa" w:w="4320"/>
          </w:tcPr>
          <w:p>
            <w:r/>
            <w:r>
              <w:rPr>
                <w:b w:val="0"/>
                <w:i w:val="0"/>
              </w:rPr>
              <w:t>Location</w:t>
            </w:r>
          </w:p>
        </w:tc>
        <w:tc>
          <w:tcPr>
            <w:tcW w:type="dxa" w:w="4320"/>
          </w:tcPr>
          <w:p>
            <w:r/>
            <w:r>
              <w:rPr>
                <w:b w:val="0"/>
                <w:i w:val="0"/>
              </w:rPr>
              <w:t>Established as far as the photographs show it.</w:t>
            </w:r>
          </w:p>
        </w:tc>
      </w:tr>
    </w:tbl>
    <w:p/>
    <w:p>
      <w:pPr>
        <w:pStyle w:val="Heading1"/>
      </w:pPr>
      <w:r>
        <w:t>4. Supplied against found</w:t>
      </w:r>
    </w:p>
    <w:p>
      <w:r>
        <w:rPr>
          <w:b w:val="0"/>
          <w:i w:val="0"/>
        </w:rPr>
        <w:t>The found side now stands. The hand-filled booklet names this health centre and counts most of its seventy-six lines. The facility's own inventory for financial year 2026-2027 is on file beside it, and the two have not been set against each other. Two oxygen therapy cylinders received here were taken to Bududa HC III for an emergency and are not on the ground.</w:t>
      </w:r>
    </w:p>
    <w:p>
      <w:pPr>
        <w:pStyle w:val="Heading1"/>
      </w:pPr>
      <w:r>
        <w:t>5. Engraving and identification</w:t>
      </w:r>
    </w:p>
    <w:p>
      <w:r>
        <w:rPr>
          <w:b w:val="0"/>
          <w:i w:val="0"/>
        </w:rPr>
        <w:t>Some assets received under the programme are not cut with the programme's name. They are cut BUMUSI HC III / DLG BUDUDA instead. No asset number was recorded.</w:t>
      </w:r>
    </w:p>
    <w:p>
      <w:pPr>
        <w:pStyle w:val="Heading1"/>
      </w:pPr>
      <w:r>
        <w:t>6. Obsolete, unserviceable or for disposal</w:t>
      </w:r>
    </w:p>
    <w:p>
      <w:r>
        <w:rPr>
          <w:b w:val="0"/>
          <w:i w:val="0"/>
        </w:rPr>
        <w:t>No item was put forward for disposal.</w:t>
      </w:r>
    </w:p>
    <w:p>
      <w:pPr>
        <w:pStyle w:val="Heading1"/>
      </w:pPr>
      <w:r>
        <w:t>7. Operation and maintenance</w:t>
      </w:r>
    </w:p>
    <w:p>
      <w:r>
        <w:rPr>
          <w:b w:val="0"/>
          <w:i w:val="0"/>
        </w:rPr>
        <w:t>The discussion guide on the hand-filled booklet records that the health centre holds the inventory list of items delivered to it and works from that record, and that it keeps functionality through loose minutes. It names poor security and the missing fence, no electricity, a solar that will not last a night, low quality structures with a cracked ceiling, and a water system that is not connected. Its recommendation is that the facility be fenced. The nurse asked for a fence, a gate-man's shelter, a larger store and a connection to electricity. Staff are few and overworked.</w:t>
      </w:r>
    </w:p>
    <w:p>
      <w:pPr>
        <w:pStyle w:val="Heading1"/>
      </w:pPr>
      <w:r>
        <w:t>8. Queries</w:t>
      </w:r>
    </w:p>
    <w:p>
      <w:pPr>
        <w:pStyle w:val="ListBullet"/>
      </w:pPr>
      <w:r>
        <w:rPr>
          <w:b w:val="0"/>
          <w:i w:val="0"/>
        </w:rPr>
        <w:t>The mark cut into the assets is the district's name, not the programme's. Establish whether the programme requires its own mark.</w:t>
      </w:r>
    </w:p>
    <w:p>
      <w:pPr>
        <w:pStyle w:val="ListBullet"/>
      </w:pPr>
      <w:r>
        <w:rPr>
          <w:b w:val="0"/>
          <w:i w:val="0"/>
        </w:rPr>
        <w:t>Two oxygen therapy cylinders received here were taken to Bududa HC III for an emergency. Settle where they now stand and under whose record.</w:t>
      </w:r>
    </w:p>
    <w:p>
      <w:pPr>
        <w:pStyle w:val="ListBullet"/>
      </w:pPr>
      <w:r>
        <w:rPr>
          <w:b w:val="0"/>
          <w:i w:val="0"/>
        </w:rPr>
        <w:t>Three lines carry no count and four carry a dash, so seven cannot be set against what was supplied. The booklet carries no cost on any line.</w:t>
      </w:r>
    </w:p>
    <w:p>
      <w:pPr>
        <w:pStyle w:val="ListBullet"/>
      </w:pPr>
      <w:r>
        <w:rPr>
          <w:b w:val="0"/>
          <w:i w:val="0"/>
        </w:rPr>
        <w:t>The ceiling is already cracked and the community draws on the water and the pit latrines. This is for the district engineer and the district health officer.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