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Buteza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Buteza Seed Secondary School</w:t>
            </w:r>
          </w:p>
        </w:tc>
      </w:tr>
      <w:tr>
        <w:tc>
          <w:tcPr>
            <w:tcW w:type="dxa" w:w="4320"/>
          </w:tcPr>
          <w:p>
            <w:r/>
            <w:r>
              <w:rPr>
                <w:b w:val="0"/>
                <w:i w:val="0"/>
              </w:rPr>
              <w:t>Named on the programme list</w:t>
            </w:r>
          </w:p>
        </w:tc>
        <w:tc>
          <w:tcPr>
            <w:tcW w:type="dxa" w:w="4320"/>
          </w:tcPr>
          <w:p>
            <w:r/>
            <w:r>
              <w:rPr>
                <w:b w:val="0"/>
                <w:i w:val="0"/>
              </w:rPr>
              <w:t>Bumirisa Seed School Buteza</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Sironko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Not recorded individually</w:t>
            </w:r>
          </w:p>
        </w:tc>
      </w:tr>
      <w:tr>
        <w:tc>
          <w:tcPr>
            <w:tcW w:type="dxa" w:w="4320"/>
          </w:tcPr>
          <w:p>
            <w:r/>
            <w:r>
              <w:rPr>
                <w:b w:val="0"/>
                <w:i w:val="0"/>
              </w:rPr>
              <w:t>Informant interviewed</w:t>
            </w:r>
          </w:p>
        </w:tc>
        <w:tc>
          <w:tcPr>
            <w:tcW w:type="dxa" w:w="4320"/>
          </w:tcPr>
          <w:p>
            <w:r/>
            <w:r>
              <w:rPr>
                <w:b w:val="0"/>
                <w:i w:val="0"/>
              </w:rPr>
              <w:t>None on the first visit. The school was closed and nobody was available to answer for it</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reached on 24 August and photographed from the gate and the frontage. No visitors' register was photographed that day. Later photographs of the multipurpose hall, ICT and library block, toilets, administration block, staff quarters, laboratory stores, classrooms, computer rooms and the playing field are now on file.</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w:t>
            </w:r>
          </w:p>
        </w:tc>
      </w:tr>
      <w:tr>
        <w:tc>
          <w:tcPr>
            <w:tcW w:type="dxa" w:w="4320"/>
          </w:tcPr>
          <w:p>
            <w:r/>
            <w:r>
              <w:rPr>
                <w:b w:val="0"/>
                <w:i w:val="0"/>
              </w:rPr>
              <w:t>Functionality</w:t>
            </w:r>
          </w:p>
        </w:tc>
        <w:tc>
          <w:tcPr>
            <w:tcW w:type="dxa" w:w="4320"/>
          </w:tcPr>
          <w:p>
            <w:r/>
            <w:r>
              <w:rPr>
                <w:b w:val="0"/>
                <w:i w:val="0"/>
              </w:rPr>
              <w:t>Not reported item by item. The photographs show buildings and furniture in place, and nothing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The school itself. Gate and frontage frames from 24 August, and later frames of the halls, ICT and library rooms, toilets, staff quarters, laboratory stores, classrooms, computer control room and the playing field.</w:t>
            </w:r>
          </w:p>
        </w:tc>
      </w:tr>
    </w:tbl>
    <w:p/>
    <w:p>
      <w:pPr>
        <w:pStyle w:val="Heading1"/>
      </w:pPr>
      <w:r>
        <w:t>4. Supplied against found</w:t>
      </w:r>
    </w:p>
    <w:p>
      <w:r>
        <w:rPr>
          <w:b w:val="0"/>
          <w:i w:val="0"/>
        </w:rPr>
        <w:t>Nothing can be compared. No delivery note, invoice or asset listing naming this school is on file, and the hand-filled booklet carries the discussion guide only, so there is no found schedule to set against a supplied figure.</w:t>
      </w:r>
    </w:p>
    <w:p>
      <w:pPr>
        <w:pStyle w:val="Heading1"/>
      </w:pPr>
      <w:r>
        <w:t>5. Engraving and identification</w:t>
      </w:r>
    </w:p>
    <w:p>
      <w:r>
        <w:rPr>
          <w:b w:val="0"/>
          <w:i w:val="0"/>
        </w:rPr>
        <w:t>Not reported. No item at this school was recorded as engraved or not engraved, and no asset number or serial number was taken from the photographs.</w:t>
      </w:r>
    </w:p>
    <w:p>
      <w:pPr>
        <w:pStyle w:val="Heading1"/>
      </w:pPr>
      <w:r>
        <w:t>6. Obsolete, unserviceable or for disposal</w:t>
      </w:r>
    </w:p>
    <w:p>
      <w:r>
        <w:rPr>
          <w:b w:val="0"/>
          <w:i w:val="0"/>
        </w:rPr>
        <w:t>No item at this school was put forward as obsolete, unserviceable or fit for disposal.</w:t>
      </w:r>
    </w:p>
    <w:p>
      <w:pPr>
        <w:pStyle w:val="Heading1"/>
      </w:pPr>
      <w:r>
        <w:t>7. Operation and maintenance</w:t>
      </w:r>
    </w:p>
    <w:p>
      <w:r>
        <w:rPr>
          <w:b w:val="0"/>
          <w:i w:val="0"/>
        </w:rPr>
        <w:t>The school was closed for the holidays on 24 August with nobody on site. A toolkit page naming this school is on file and carries that explanation and the head teacher's number. Whether the school holds a record of UgIFT assets, how many were supplied and when, how it maintains them, whether functionality is recorded, and what the support has done for service delivery are answered only as far as that page goes.</w:t>
      </w:r>
    </w:p>
    <w:p>
      <w:pPr>
        <w:pStyle w:val="Heading1"/>
      </w:pPr>
      <w:r>
        <w:t>8. Queries</w:t>
      </w:r>
    </w:p>
    <w:p>
      <w:pPr>
        <w:pStyle w:val="ListBullet"/>
      </w:pPr>
      <w:r>
        <w:rPr>
          <w:b w:val="0"/>
          <w:i w:val="0"/>
        </w:rPr>
        <w:t>The hand-filled booklet carries the discussion guide only. Fill the furniture, ICT and buildings schedules against what the photographs now show.</w:t>
      </w:r>
    </w:p>
    <w:p>
      <w:pPr>
        <w:pStyle w:val="ListBullet"/>
      </w:pPr>
      <w:r>
        <w:rPr>
          <w:b w:val="0"/>
          <w:i w:val="0"/>
        </w:rPr>
        <w:t>The programme list names this school Bumirisa Seed School Buteza, the signboard names it Buteza Seed Secondary School, and the later photographs were passed on under the name Buteresa Seed School. Three names now stand for one school. Confirm which is the official one.</w:t>
      </w:r>
    </w:p>
    <w:p>
      <w:pPr>
        <w:pStyle w:val="ListBullet"/>
      </w:pPr>
      <w:r>
        <w:rPr>
          <w:b w:val="0"/>
          <w:i w:val="0"/>
        </w:rPr>
        <w:t>Ownership, functionality and usage were not established item by item on either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