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376" w:rsidRPr="006F77CB" w:rsidRDefault="00D71376" w:rsidP="00D71376">
      <w:pPr>
        <w:spacing w:before="100" w:beforeAutospacing="1" w:after="100" w:afterAutospacing="1" w:line="240" w:lineRule="auto"/>
        <w:rPr>
          <w:rFonts w:ascii="Bookman Old Style" w:eastAsia="Times New Roman" w:hAnsi="Bookman Old Style" w:cs="Times New Roman"/>
          <w:sz w:val="24"/>
          <w:szCs w:val="24"/>
        </w:rPr>
      </w:pPr>
      <w:bookmarkStart w:id="0" w:name="_GoBack"/>
      <w:r w:rsidRPr="006F77CB">
        <w:rPr>
          <w:rFonts w:ascii="Bookman Old Style" w:eastAsia="Times New Roman" w:hAnsi="Bookman Old Style" w:cs="Times New Roman"/>
          <w:sz w:val="24"/>
          <w:szCs w:val="24"/>
        </w:rPr>
        <w:t>My main comments are as follows:</w:t>
      </w:r>
    </w:p>
    <w:tbl>
      <w:tblPr>
        <w:tblStyle w:val="TableGrid"/>
        <w:tblW w:w="0" w:type="auto"/>
        <w:tblLook w:val="04A0" w:firstRow="1" w:lastRow="0" w:firstColumn="1" w:lastColumn="0" w:noHBand="0" w:noVBand="1"/>
      </w:tblPr>
      <w:tblGrid>
        <w:gridCol w:w="2403"/>
        <w:gridCol w:w="6947"/>
      </w:tblGrid>
      <w:tr w:rsidR="00D71376" w:rsidRPr="006F77CB" w:rsidTr="00D71376">
        <w:tc>
          <w:tcPr>
            <w:tcW w:w="0" w:type="auto"/>
            <w:hideMark/>
          </w:tcPr>
          <w:p w:rsidR="00D71376" w:rsidRPr="006F77CB" w:rsidRDefault="00D71376" w:rsidP="00D71376">
            <w:pPr>
              <w:jc w:val="center"/>
              <w:rPr>
                <w:rFonts w:ascii="Bookman Old Style" w:eastAsia="Times New Roman" w:hAnsi="Bookman Old Style" w:cs="Times New Roman"/>
                <w:bCs/>
                <w:sz w:val="24"/>
                <w:szCs w:val="24"/>
              </w:rPr>
            </w:pPr>
            <w:r w:rsidRPr="006F77CB">
              <w:rPr>
                <w:rFonts w:ascii="Bookman Old Style" w:eastAsia="Times New Roman" w:hAnsi="Bookman Old Style" w:cs="Times New Roman"/>
                <w:bCs/>
                <w:sz w:val="24"/>
                <w:szCs w:val="24"/>
              </w:rPr>
              <w:t>Section or issue</w:t>
            </w:r>
          </w:p>
        </w:tc>
        <w:tc>
          <w:tcPr>
            <w:tcW w:w="6947" w:type="dxa"/>
            <w:hideMark/>
          </w:tcPr>
          <w:p w:rsidR="00D71376" w:rsidRPr="006F77CB" w:rsidRDefault="00D71376" w:rsidP="00D71376">
            <w:pPr>
              <w:jc w:val="center"/>
              <w:rPr>
                <w:rFonts w:ascii="Bookman Old Style" w:eastAsia="Times New Roman" w:hAnsi="Bookman Old Style" w:cs="Times New Roman"/>
                <w:bCs/>
                <w:sz w:val="24"/>
                <w:szCs w:val="24"/>
              </w:rPr>
            </w:pPr>
            <w:r w:rsidRPr="006F77CB">
              <w:rPr>
                <w:rFonts w:ascii="Bookman Old Style" w:eastAsia="Times New Roman" w:hAnsi="Bookman Old Style" w:cs="Times New Roman"/>
                <w:bCs/>
                <w:sz w:val="24"/>
                <w:szCs w:val="24"/>
              </w:rPr>
              <w:t>Review comment and required improvement</w:t>
            </w:r>
          </w:p>
        </w:tc>
      </w:tr>
      <w:tr w:rsidR="00D71376" w:rsidRPr="006F77CB" w:rsidTr="00D71376">
        <w:tc>
          <w:tcPr>
            <w:tcW w:w="0" w:type="auto"/>
            <w:hideMark/>
          </w:tcPr>
          <w:p w:rsidR="00D71376" w:rsidRPr="006F77CB" w:rsidRDefault="006F77CB"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bCs/>
                <w:sz w:val="24"/>
                <w:szCs w:val="24"/>
              </w:rPr>
              <w:t xml:space="preserve">Financial values </w:t>
            </w:r>
            <w:r w:rsidR="00D71376" w:rsidRPr="006F77CB">
              <w:rPr>
                <w:rFonts w:ascii="Bookman Old Style" w:eastAsia="Times New Roman" w:hAnsi="Bookman Old Style" w:cs="Times New Roman"/>
                <w:bCs/>
                <w:sz w:val="24"/>
                <w:szCs w:val="24"/>
              </w:rPr>
              <w:t xml:space="preserve"> Executive summary and Appendix D</w:t>
            </w:r>
          </w:p>
        </w:tc>
        <w:tc>
          <w:tcPr>
            <w:tcW w:w="6947" w:type="dxa"/>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The executive summary reports a recorded value of </w:t>
            </w:r>
            <w:r w:rsidRPr="006F77CB">
              <w:rPr>
                <w:rFonts w:ascii="Bookman Old Style" w:eastAsia="Times New Roman" w:hAnsi="Bookman Old Style" w:cs="Times New Roman"/>
                <w:bCs/>
                <w:sz w:val="24"/>
                <w:szCs w:val="24"/>
              </w:rPr>
              <w:t>UGX 971,615,425,138</w:t>
            </w:r>
            <w:r w:rsidRPr="006F77CB">
              <w:rPr>
                <w:rFonts w:ascii="Bookman Old Style" w:eastAsia="Times New Roman" w:hAnsi="Bookman Old Style" w:cs="Times New Roman"/>
                <w:sz w:val="24"/>
                <w:szCs w:val="24"/>
              </w:rPr>
              <w:t xml:space="preserve"> and net book value of </w:t>
            </w:r>
            <w:r w:rsidRPr="006F77CB">
              <w:rPr>
                <w:rFonts w:ascii="Bookman Old Style" w:eastAsia="Times New Roman" w:hAnsi="Bookman Old Style" w:cs="Times New Roman"/>
                <w:bCs/>
                <w:sz w:val="24"/>
                <w:szCs w:val="24"/>
              </w:rPr>
              <w:t>UGX 808,621,845,836</w:t>
            </w:r>
            <w:r w:rsidRPr="006F77CB">
              <w:rPr>
                <w:rFonts w:ascii="Bookman Old Style" w:eastAsia="Times New Roman" w:hAnsi="Bookman Old Style" w:cs="Times New Roman"/>
                <w:sz w:val="24"/>
                <w:szCs w:val="24"/>
              </w:rPr>
              <w:t xml:space="preserve">, consistent with Table 40. However, the opening paragraph of Appendix D reports </w:t>
            </w:r>
            <w:r w:rsidRPr="006F77CB">
              <w:rPr>
                <w:rFonts w:ascii="Bookman Old Style" w:eastAsia="Times New Roman" w:hAnsi="Bookman Old Style" w:cs="Times New Roman"/>
                <w:bCs/>
                <w:sz w:val="24"/>
                <w:szCs w:val="24"/>
              </w:rPr>
              <w:t>UGX 997,840,855,042</w:t>
            </w:r>
            <w:r w:rsidRPr="006F77CB">
              <w:rPr>
                <w:rFonts w:ascii="Bookman Old Style" w:eastAsia="Times New Roman" w:hAnsi="Bookman Old Style" w:cs="Times New Roman"/>
                <w:sz w:val="24"/>
                <w:szCs w:val="24"/>
              </w:rPr>
              <w:t xml:space="preserve"> and </w:t>
            </w:r>
            <w:r w:rsidRPr="006F77CB">
              <w:rPr>
                <w:rFonts w:ascii="Bookman Old Style" w:eastAsia="Times New Roman" w:hAnsi="Bookman Old Style" w:cs="Times New Roman"/>
                <w:bCs/>
                <w:sz w:val="24"/>
                <w:szCs w:val="24"/>
              </w:rPr>
              <w:t>UGX 812,316,492,277</w:t>
            </w:r>
            <w:r w:rsidRPr="006F77CB">
              <w:rPr>
                <w:rFonts w:ascii="Bookman Old Style" w:eastAsia="Times New Roman" w:hAnsi="Bookman Old Style" w:cs="Times New Roman"/>
                <w:sz w:val="24"/>
                <w:szCs w:val="24"/>
              </w:rPr>
              <w:t>, respectively. Reconcile the figures and update all related narrative, tables and charts.</w:t>
            </w:r>
          </w:p>
        </w:tc>
      </w:tr>
      <w:tr w:rsidR="00D71376" w:rsidRPr="006F77CB" w:rsidTr="00D71376">
        <w:tc>
          <w:tcPr>
            <w:tcW w:w="0" w:type="auto"/>
            <w:hideMark/>
          </w:tcPr>
          <w:p w:rsidR="00D71376" w:rsidRPr="006F77CB" w:rsidRDefault="006F77CB"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bCs/>
                <w:sz w:val="24"/>
                <w:szCs w:val="24"/>
              </w:rPr>
              <w:t xml:space="preserve">Financial arithmetic </w:t>
            </w:r>
            <w:r w:rsidR="00D71376" w:rsidRPr="006F77CB">
              <w:rPr>
                <w:rFonts w:ascii="Bookman Old Style" w:eastAsia="Times New Roman" w:hAnsi="Bookman Old Style" w:cs="Times New Roman"/>
                <w:bCs/>
                <w:sz w:val="24"/>
                <w:szCs w:val="24"/>
              </w:rPr>
              <w:t>Table 40</w:t>
            </w:r>
          </w:p>
        </w:tc>
        <w:tc>
          <w:tcPr>
            <w:tcW w:w="6947" w:type="dxa"/>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The reported total cost less accumulated depreciation gives </w:t>
            </w:r>
            <w:r w:rsidRPr="006F77CB">
              <w:rPr>
                <w:rFonts w:ascii="Bookman Old Style" w:eastAsia="Times New Roman" w:hAnsi="Bookman Old Style" w:cs="Times New Roman"/>
                <w:bCs/>
                <w:sz w:val="24"/>
                <w:szCs w:val="24"/>
              </w:rPr>
              <w:t>UGX 808,607,319,825</w:t>
            </w:r>
            <w:r w:rsidRPr="006F77CB">
              <w:rPr>
                <w:rFonts w:ascii="Bookman Old Style" w:eastAsia="Times New Roman" w:hAnsi="Bookman Old Style" w:cs="Times New Roman"/>
                <w:sz w:val="24"/>
                <w:szCs w:val="24"/>
              </w:rPr>
              <w:t xml:space="preserve">, which differs from the reported net book value by </w:t>
            </w:r>
            <w:r w:rsidRPr="006F77CB">
              <w:rPr>
                <w:rFonts w:ascii="Bookman Old Style" w:eastAsia="Times New Roman" w:hAnsi="Bookman Old Style" w:cs="Times New Roman"/>
                <w:bCs/>
                <w:sz w:val="24"/>
                <w:szCs w:val="24"/>
              </w:rPr>
              <w:t>UGX 14,526,011</w:t>
            </w:r>
            <w:r w:rsidRPr="006F77CB">
              <w:rPr>
                <w:rFonts w:ascii="Bookman Old Style" w:eastAsia="Times New Roman" w:hAnsi="Bookman Old Style" w:cs="Times New Roman"/>
                <w:sz w:val="24"/>
                <w:szCs w:val="24"/>
              </w:rPr>
              <w:t>. The report applies a zero floor to individual asset net book values; explain whether this accounts for the difference and provide a reconciliation.</w:t>
            </w:r>
          </w:p>
        </w:tc>
      </w:tr>
      <w:tr w:rsidR="00D71376" w:rsidRPr="006F77CB" w:rsidTr="00D71376">
        <w:tc>
          <w:tcPr>
            <w:tcW w:w="0" w:type="auto"/>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bCs/>
                <w:sz w:val="24"/>
                <w:szCs w:val="24"/>
              </w:rPr>
              <w:t>Assets not engraved</w:t>
            </w:r>
          </w:p>
        </w:tc>
        <w:tc>
          <w:tcPr>
            <w:tcW w:w="6947" w:type="dxa"/>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The executive summary recommendations and Table 33 refer to </w:t>
            </w:r>
            <w:r w:rsidRPr="006F77CB">
              <w:rPr>
                <w:rFonts w:ascii="Bookman Old Style" w:eastAsia="Times New Roman" w:hAnsi="Bookman Old Style" w:cs="Times New Roman"/>
                <w:bCs/>
                <w:sz w:val="24"/>
                <w:szCs w:val="24"/>
              </w:rPr>
              <w:t>175,242 assets, or 78.0%</w:t>
            </w:r>
            <w:r w:rsidRPr="006F77CB">
              <w:rPr>
                <w:rFonts w:ascii="Bookman Old Style" w:eastAsia="Times New Roman" w:hAnsi="Bookman Old Style" w:cs="Times New Roman"/>
                <w:sz w:val="24"/>
                <w:szCs w:val="24"/>
              </w:rPr>
              <w:t xml:space="preserve">, as not engraved. Tables 35 and 43 report </w:t>
            </w:r>
            <w:r w:rsidRPr="006F77CB">
              <w:rPr>
                <w:rFonts w:ascii="Bookman Old Style" w:eastAsia="Times New Roman" w:hAnsi="Bookman Old Style" w:cs="Times New Roman"/>
                <w:bCs/>
                <w:sz w:val="24"/>
                <w:szCs w:val="24"/>
              </w:rPr>
              <w:t>167,279, or 77.2%</w:t>
            </w:r>
            <w:r w:rsidRPr="006F77CB">
              <w:rPr>
                <w:rFonts w:ascii="Bookman Old Style" w:eastAsia="Times New Roman" w:hAnsi="Bookman Old Style" w:cs="Times New Roman"/>
                <w:sz w:val="24"/>
                <w:szCs w:val="24"/>
              </w:rPr>
              <w:t xml:space="preserve"> of 216,736 movable assets. Confirm the correct count and denominator and apply them consistently.</w:t>
            </w:r>
          </w:p>
        </w:tc>
      </w:tr>
      <w:tr w:rsidR="00D71376" w:rsidRPr="006F77CB" w:rsidTr="00D71376">
        <w:tc>
          <w:tcPr>
            <w:tcW w:w="0" w:type="auto"/>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bCs/>
                <w:sz w:val="24"/>
                <w:szCs w:val="24"/>
              </w:rPr>
              <w:t>Assets in storage</w:t>
            </w:r>
          </w:p>
        </w:tc>
        <w:tc>
          <w:tcPr>
            <w:tcW w:w="6947" w:type="dxa"/>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The condition schedules report </w:t>
            </w:r>
            <w:r w:rsidRPr="006F77CB">
              <w:rPr>
                <w:rFonts w:ascii="Bookman Old Style" w:eastAsia="Times New Roman" w:hAnsi="Bookman Old Style" w:cs="Times New Roman"/>
                <w:bCs/>
                <w:sz w:val="24"/>
                <w:szCs w:val="24"/>
              </w:rPr>
              <w:t>3,119 assets in store</w:t>
            </w:r>
            <w:r w:rsidRPr="006F77CB">
              <w:rPr>
                <w:rFonts w:ascii="Bookman Old Style" w:eastAsia="Times New Roman" w:hAnsi="Bookman Old Style" w:cs="Times New Roman"/>
                <w:sz w:val="24"/>
                <w:szCs w:val="24"/>
              </w:rPr>
              <w:t xml:space="preserve">, while the </w:t>
            </w:r>
            <w:proofErr w:type="spellStart"/>
            <w:r w:rsidRPr="006F77CB">
              <w:rPr>
                <w:rFonts w:ascii="Bookman Old Style" w:eastAsia="Times New Roman" w:hAnsi="Bookman Old Style" w:cs="Times New Roman"/>
                <w:sz w:val="24"/>
                <w:szCs w:val="24"/>
              </w:rPr>
              <w:t>utilisation</w:t>
            </w:r>
            <w:proofErr w:type="spellEnd"/>
            <w:r w:rsidRPr="006F77CB">
              <w:rPr>
                <w:rFonts w:ascii="Bookman Old Style" w:eastAsia="Times New Roman" w:hAnsi="Bookman Old Style" w:cs="Times New Roman"/>
                <w:sz w:val="24"/>
                <w:szCs w:val="24"/>
              </w:rPr>
              <w:t xml:space="preserve"> narrative and action plan report </w:t>
            </w:r>
            <w:r w:rsidRPr="006F77CB">
              <w:rPr>
                <w:rFonts w:ascii="Bookman Old Style" w:eastAsia="Times New Roman" w:hAnsi="Bookman Old Style" w:cs="Times New Roman"/>
                <w:bCs/>
                <w:sz w:val="24"/>
                <w:szCs w:val="24"/>
              </w:rPr>
              <w:t>3,200</w:t>
            </w:r>
            <w:r w:rsidRPr="006F77CB">
              <w:rPr>
                <w:rFonts w:ascii="Bookman Old Style" w:eastAsia="Times New Roman" w:hAnsi="Bookman Old Style" w:cs="Times New Roman"/>
                <w:sz w:val="24"/>
                <w:szCs w:val="24"/>
              </w:rPr>
              <w:t>. Explain whether the difference represents damaged assets in storage or different classifications, and provide a reconciliation.</w:t>
            </w:r>
          </w:p>
        </w:tc>
      </w:tr>
      <w:tr w:rsidR="00D71376" w:rsidRPr="006F77CB" w:rsidTr="00D71376">
        <w:tc>
          <w:tcPr>
            <w:tcW w:w="0" w:type="auto"/>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bCs/>
                <w:sz w:val="24"/>
                <w:szCs w:val="24"/>
              </w:rPr>
              <w:t>Meaning of “verified assets”</w:t>
            </w:r>
          </w:p>
        </w:tc>
        <w:tc>
          <w:tcPr>
            <w:tcW w:w="6947" w:type="dxa"/>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The conclusion describes all </w:t>
            </w:r>
            <w:r w:rsidRPr="006F77CB">
              <w:rPr>
                <w:rFonts w:ascii="Bookman Old Style" w:eastAsia="Times New Roman" w:hAnsi="Bookman Old Style" w:cs="Times New Roman"/>
                <w:bCs/>
                <w:sz w:val="24"/>
                <w:szCs w:val="24"/>
              </w:rPr>
              <w:t>226,280 assets</w:t>
            </w:r>
            <w:r w:rsidRPr="006F77CB">
              <w:rPr>
                <w:rFonts w:ascii="Bookman Old Style" w:eastAsia="Times New Roman" w:hAnsi="Bookman Old Style" w:cs="Times New Roman"/>
                <w:sz w:val="24"/>
                <w:szCs w:val="24"/>
              </w:rPr>
              <w:t xml:space="preserve"> as verified, yet the report includes assets not delivered, held elsewhere, reported stolen or lost, and items excluded from physical inspection. Separate assets physically inspected from those confirmed through records, reported by custodians, or awaiting verification.</w:t>
            </w:r>
          </w:p>
        </w:tc>
      </w:tr>
      <w:tr w:rsidR="00D71376" w:rsidRPr="006F77CB" w:rsidTr="00D71376">
        <w:tc>
          <w:tcPr>
            <w:tcW w:w="0" w:type="auto"/>
            <w:hideMark/>
          </w:tcPr>
          <w:p w:rsidR="00D71376" w:rsidRPr="006F77CB" w:rsidRDefault="006F77CB"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bCs/>
                <w:sz w:val="24"/>
                <w:szCs w:val="24"/>
              </w:rPr>
              <w:t xml:space="preserve">Condition versus </w:t>
            </w:r>
            <w:proofErr w:type="spellStart"/>
            <w:r w:rsidRPr="006F77CB">
              <w:rPr>
                <w:rFonts w:ascii="Bookman Old Style" w:eastAsia="Times New Roman" w:hAnsi="Bookman Old Style" w:cs="Times New Roman"/>
                <w:bCs/>
                <w:sz w:val="24"/>
                <w:szCs w:val="24"/>
              </w:rPr>
              <w:t>utilisation</w:t>
            </w:r>
            <w:proofErr w:type="spellEnd"/>
            <w:r w:rsidRPr="006F77CB">
              <w:rPr>
                <w:rFonts w:ascii="Bookman Old Style" w:eastAsia="Times New Roman" w:hAnsi="Bookman Old Style" w:cs="Times New Roman"/>
                <w:bCs/>
                <w:sz w:val="24"/>
                <w:szCs w:val="24"/>
              </w:rPr>
              <w:t xml:space="preserve"> </w:t>
            </w:r>
            <w:r w:rsidR="00D71376" w:rsidRPr="006F77CB">
              <w:rPr>
                <w:rFonts w:ascii="Bookman Old Style" w:eastAsia="Times New Roman" w:hAnsi="Bookman Old Style" w:cs="Times New Roman"/>
                <w:bCs/>
                <w:sz w:val="24"/>
                <w:szCs w:val="24"/>
              </w:rPr>
              <w:t xml:space="preserve"> Section 2.7</w:t>
            </w:r>
          </w:p>
        </w:tc>
        <w:tc>
          <w:tcPr>
            <w:tcW w:w="6947" w:type="dxa"/>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“Good condition” is defined as assets in use or in store, while “faulty” includes items awaiting power, installation or trained users. These definitions mix physical condition with use. Report condition and </w:t>
            </w:r>
            <w:proofErr w:type="spellStart"/>
            <w:r w:rsidRPr="006F77CB">
              <w:rPr>
                <w:rFonts w:ascii="Bookman Old Style" w:eastAsia="Times New Roman" w:hAnsi="Bookman Old Style" w:cs="Times New Roman"/>
                <w:sz w:val="24"/>
                <w:szCs w:val="24"/>
              </w:rPr>
              <w:t>utilisation</w:t>
            </w:r>
            <w:proofErr w:type="spellEnd"/>
            <w:r w:rsidRPr="006F77CB">
              <w:rPr>
                <w:rFonts w:ascii="Bookman Old Style" w:eastAsia="Times New Roman" w:hAnsi="Bookman Old Style" w:cs="Times New Roman"/>
                <w:sz w:val="24"/>
                <w:szCs w:val="24"/>
              </w:rPr>
              <w:t xml:space="preserve"> separately: an unused asset may be functional, and an asset in use may have defects.</w:t>
            </w:r>
          </w:p>
        </w:tc>
      </w:tr>
      <w:tr w:rsidR="00D71376" w:rsidRPr="006F77CB" w:rsidTr="00D71376">
        <w:tc>
          <w:tcPr>
            <w:tcW w:w="0" w:type="auto"/>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bCs/>
                <w:sz w:val="24"/>
                <w:szCs w:val="24"/>
              </w:rPr>
              <w:t>Facility service status</w:t>
            </w:r>
          </w:p>
        </w:tc>
        <w:tc>
          <w:tcPr>
            <w:tcW w:w="6947" w:type="dxa"/>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Of </w:t>
            </w:r>
            <w:r w:rsidRPr="006F77CB">
              <w:rPr>
                <w:rFonts w:ascii="Bookman Old Style" w:eastAsia="Times New Roman" w:hAnsi="Bookman Old Style" w:cs="Times New Roman"/>
                <w:bCs/>
                <w:sz w:val="24"/>
                <w:szCs w:val="24"/>
              </w:rPr>
              <w:t>590 verified facilities</w:t>
            </w:r>
            <w:r w:rsidRPr="006F77CB">
              <w:rPr>
                <w:rFonts w:ascii="Bookman Old Style" w:eastAsia="Times New Roman" w:hAnsi="Bookman Old Style" w:cs="Times New Roman"/>
                <w:sz w:val="24"/>
                <w:szCs w:val="24"/>
              </w:rPr>
              <w:t xml:space="preserve">, 520 were providing services and 24 were not yet providing services. This leaves </w:t>
            </w:r>
            <w:r w:rsidRPr="006F77CB">
              <w:rPr>
                <w:rFonts w:ascii="Bookman Old Style" w:eastAsia="Times New Roman" w:hAnsi="Bookman Old Style" w:cs="Times New Roman"/>
                <w:bCs/>
                <w:sz w:val="24"/>
                <w:szCs w:val="24"/>
              </w:rPr>
              <w:t>46 facilities</w:t>
            </w:r>
            <w:r w:rsidRPr="006F77CB">
              <w:rPr>
                <w:rFonts w:ascii="Bookman Old Style" w:eastAsia="Times New Roman" w:hAnsi="Bookman Old Style" w:cs="Times New Roman"/>
                <w:sz w:val="24"/>
                <w:szCs w:val="24"/>
              </w:rPr>
              <w:t xml:space="preserve"> without an explained service status. Add a category for unconfirmed or unreported status, with reasons and follow-up actions.</w:t>
            </w:r>
          </w:p>
        </w:tc>
      </w:tr>
      <w:tr w:rsidR="00D71376" w:rsidRPr="006F77CB" w:rsidTr="00D71376">
        <w:tc>
          <w:tcPr>
            <w:tcW w:w="0" w:type="auto"/>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bCs/>
                <w:sz w:val="24"/>
                <w:szCs w:val="24"/>
              </w:rPr>
              <w:lastRenderedPageBreak/>
              <w:t>Facility popul</w:t>
            </w:r>
            <w:r w:rsidR="006F77CB" w:rsidRPr="006F77CB">
              <w:rPr>
                <w:rFonts w:ascii="Bookman Old Style" w:eastAsia="Times New Roman" w:hAnsi="Bookman Old Style" w:cs="Times New Roman"/>
                <w:bCs/>
                <w:sz w:val="24"/>
                <w:szCs w:val="24"/>
              </w:rPr>
              <w:t xml:space="preserve">ation </w:t>
            </w:r>
            <w:r w:rsidRPr="006F77CB">
              <w:rPr>
                <w:rFonts w:ascii="Bookman Old Style" w:eastAsia="Times New Roman" w:hAnsi="Bookman Old Style" w:cs="Times New Roman"/>
                <w:bCs/>
                <w:sz w:val="24"/>
                <w:szCs w:val="24"/>
              </w:rPr>
              <w:t>Table 45</w:t>
            </w:r>
          </w:p>
        </w:tc>
        <w:tc>
          <w:tcPr>
            <w:tcW w:w="6947" w:type="dxa"/>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This table uses </w:t>
            </w:r>
            <w:r w:rsidRPr="006F77CB">
              <w:rPr>
                <w:rFonts w:ascii="Bookman Old Style" w:eastAsia="Times New Roman" w:hAnsi="Bookman Old Style" w:cs="Times New Roman"/>
                <w:bCs/>
                <w:sz w:val="24"/>
                <w:szCs w:val="24"/>
              </w:rPr>
              <w:t xml:space="preserve">354 health </w:t>
            </w:r>
            <w:proofErr w:type="spellStart"/>
            <w:r w:rsidRPr="006F77CB">
              <w:rPr>
                <w:rFonts w:ascii="Bookman Old Style" w:eastAsia="Times New Roman" w:hAnsi="Bookman Old Style" w:cs="Times New Roman"/>
                <w:bCs/>
                <w:sz w:val="24"/>
                <w:szCs w:val="24"/>
              </w:rPr>
              <w:t>centres</w:t>
            </w:r>
            <w:proofErr w:type="spellEnd"/>
            <w:r w:rsidRPr="006F77CB">
              <w:rPr>
                <w:rFonts w:ascii="Bookman Old Style" w:eastAsia="Times New Roman" w:hAnsi="Bookman Old Style" w:cs="Times New Roman"/>
                <w:bCs/>
                <w:sz w:val="24"/>
                <w:szCs w:val="24"/>
              </w:rPr>
              <w:t>, 255 seed schools, 204 MDA units and six blood bank units</w:t>
            </w:r>
            <w:r w:rsidRPr="006F77CB">
              <w:rPr>
                <w:rFonts w:ascii="Bookman Old Style" w:eastAsia="Times New Roman" w:hAnsi="Bookman Old Style" w:cs="Times New Roman"/>
                <w:sz w:val="24"/>
                <w:szCs w:val="24"/>
              </w:rPr>
              <w:t xml:space="preserve">, whereas the coverage narrative uses 347 verified </w:t>
            </w:r>
            <w:proofErr w:type="spellStart"/>
            <w:r w:rsidRPr="006F77CB">
              <w:rPr>
                <w:rFonts w:ascii="Bookman Old Style" w:eastAsia="Times New Roman" w:hAnsi="Bookman Old Style" w:cs="Times New Roman"/>
                <w:sz w:val="24"/>
                <w:szCs w:val="24"/>
              </w:rPr>
              <w:t>programme</w:t>
            </w:r>
            <w:proofErr w:type="spellEnd"/>
            <w:r w:rsidRPr="006F77CB">
              <w:rPr>
                <w:rFonts w:ascii="Bookman Old Style" w:eastAsia="Times New Roman" w:hAnsi="Bookman Old Style" w:cs="Times New Roman"/>
                <w:sz w:val="24"/>
                <w:szCs w:val="24"/>
              </w:rPr>
              <w:t xml:space="preserve">-list health </w:t>
            </w:r>
            <w:proofErr w:type="spellStart"/>
            <w:r w:rsidRPr="006F77CB">
              <w:rPr>
                <w:rFonts w:ascii="Bookman Old Style" w:eastAsia="Times New Roman" w:hAnsi="Bookman Old Style" w:cs="Times New Roman"/>
                <w:sz w:val="24"/>
                <w:szCs w:val="24"/>
              </w:rPr>
              <w:t>centres</w:t>
            </w:r>
            <w:proofErr w:type="spellEnd"/>
            <w:r w:rsidRPr="006F77CB">
              <w:rPr>
                <w:rFonts w:ascii="Bookman Old Style" w:eastAsia="Times New Roman" w:hAnsi="Bookman Old Style" w:cs="Times New Roman"/>
                <w:sz w:val="24"/>
                <w:szCs w:val="24"/>
              </w:rPr>
              <w:t>, 243 seed schools, 15 MDAs and three regional blood banks. Explain what these units represent and how additional beneficiaries and receiving institutions affect the totals.</w:t>
            </w:r>
          </w:p>
        </w:tc>
      </w:tr>
      <w:tr w:rsidR="00D71376" w:rsidRPr="006F77CB" w:rsidTr="00D71376">
        <w:tc>
          <w:tcPr>
            <w:tcW w:w="0" w:type="auto"/>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bCs/>
                <w:sz w:val="24"/>
                <w:szCs w:val="24"/>
              </w:rPr>
              <w:t>Incomplete works</w:t>
            </w:r>
          </w:p>
        </w:tc>
        <w:tc>
          <w:tcPr>
            <w:tcW w:w="6947" w:type="dxa"/>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The report identifies </w:t>
            </w:r>
            <w:r w:rsidRPr="006F77CB">
              <w:rPr>
                <w:rFonts w:ascii="Bookman Old Style" w:eastAsia="Times New Roman" w:hAnsi="Bookman Old Style" w:cs="Times New Roman"/>
                <w:bCs/>
                <w:sz w:val="24"/>
                <w:szCs w:val="24"/>
              </w:rPr>
              <w:t>115 facilities with works outstanding</w:t>
            </w:r>
            <w:r w:rsidRPr="006F77CB">
              <w:rPr>
                <w:rFonts w:ascii="Bookman Old Style" w:eastAsia="Times New Roman" w:hAnsi="Bookman Old Style" w:cs="Times New Roman"/>
                <w:sz w:val="24"/>
                <w:szCs w:val="24"/>
              </w:rPr>
              <w:t xml:space="preserve">, while Appendix F refers to 86 with outstanding works and a schedule covering 89 facilities. It explains that some cases rely on </w:t>
            </w:r>
            <w:proofErr w:type="spellStart"/>
            <w:r w:rsidRPr="006F77CB">
              <w:rPr>
                <w:rFonts w:ascii="Bookman Old Style" w:eastAsia="Times New Roman" w:hAnsi="Bookman Old Style" w:cs="Times New Roman"/>
                <w:sz w:val="24"/>
                <w:szCs w:val="24"/>
              </w:rPr>
              <w:t>programme</w:t>
            </w:r>
            <w:proofErr w:type="spellEnd"/>
            <w:r w:rsidRPr="006F77CB">
              <w:rPr>
                <w:rFonts w:ascii="Bookman Old Style" w:eastAsia="Times New Roman" w:hAnsi="Bookman Old Style" w:cs="Times New Roman"/>
                <w:sz w:val="24"/>
                <w:szCs w:val="24"/>
              </w:rPr>
              <w:t>-list status. Distinguish field-confirmed incomplete works from cases supported only by earlier records, and make the relationship between these counts explicit.</w:t>
            </w:r>
          </w:p>
        </w:tc>
      </w:tr>
      <w:tr w:rsidR="00D71376" w:rsidRPr="006F77CB" w:rsidTr="00D71376">
        <w:tc>
          <w:tcPr>
            <w:tcW w:w="0" w:type="auto"/>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bCs/>
                <w:sz w:val="24"/>
                <w:szCs w:val="24"/>
              </w:rPr>
              <w:t>Scope of the assignment</w:t>
            </w:r>
          </w:p>
        </w:tc>
        <w:tc>
          <w:tcPr>
            <w:tcW w:w="6947" w:type="dxa"/>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The background includes water and environment and agricultural micro-scale irrigation, but local government verification focuses on health </w:t>
            </w:r>
            <w:proofErr w:type="spellStart"/>
            <w:r w:rsidRPr="006F77CB">
              <w:rPr>
                <w:rFonts w:ascii="Bookman Old Style" w:eastAsia="Times New Roman" w:hAnsi="Bookman Old Style" w:cs="Times New Roman"/>
                <w:sz w:val="24"/>
                <w:szCs w:val="24"/>
              </w:rPr>
              <w:t>centres</w:t>
            </w:r>
            <w:proofErr w:type="spellEnd"/>
            <w:r w:rsidRPr="006F77CB">
              <w:rPr>
                <w:rFonts w:ascii="Bookman Old Style" w:eastAsia="Times New Roman" w:hAnsi="Bookman Old Style" w:cs="Times New Roman"/>
                <w:sz w:val="24"/>
                <w:szCs w:val="24"/>
              </w:rPr>
              <w:t xml:space="preserve"> and seed schools. State whether other sector assets were outside the approved assignment, covered separately or omitted, and explain the implications for the closure inventory.</w:t>
            </w:r>
          </w:p>
        </w:tc>
      </w:tr>
      <w:tr w:rsidR="00D71376" w:rsidRPr="006F77CB" w:rsidTr="00D71376">
        <w:tc>
          <w:tcPr>
            <w:tcW w:w="0" w:type="auto"/>
            <w:hideMark/>
          </w:tcPr>
          <w:p w:rsidR="00D71376" w:rsidRPr="006F77CB" w:rsidRDefault="006F77CB"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bCs/>
                <w:sz w:val="24"/>
                <w:szCs w:val="24"/>
              </w:rPr>
              <w:t xml:space="preserve">Valuation evidence </w:t>
            </w:r>
            <w:r w:rsidR="00D71376" w:rsidRPr="006F77CB">
              <w:rPr>
                <w:rFonts w:ascii="Bookman Old Style" w:eastAsia="Times New Roman" w:hAnsi="Bookman Old Style" w:cs="Times New Roman"/>
                <w:bCs/>
                <w:sz w:val="24"/>
                <w:szCs w:val="24"/>
              </w:rPr>
              <w:t>Section 2.8</w:t>
            </w:r>
          </w:p>
        </w:tc>
        <w:tc>
          <w:tcPr>
            <w:tcW w:w="6947" w:type="dxa"/>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Identify which values came from invoices, contracts, existing registers or estimates. Explain the treatment of buildings, land, incomplete works, undelivered items and missing assets. The basis for carrying unit values below </w:t>
            </w:r>
            <w:r w:rsidRPr="006F77CB">
              <w:rPr>
                <w:rFonts w:ascii="Bookman Old Style" w:eastAsia="Times New Roman" w:hAnsi="Bookman Old Style" w:cs="Times New Roman"/>
                <w:bCs/>
                <w:sz w:val="24"/>
                <w:szCs w:val="24"/>
              </w:rPr>
              <w:t>UGX 10,000</w:t>
            </w:r>
            <w:r w:rsidRPr="006F77CB">
              <w:rPr>
                <w:rFonts w:ascii="Bookman Old Style" w:eastAsia="Times New Roman" w:hAnsi="Bookman Old Style" w:cs="Times New Roman"/>
                <w:sz w:val="24"/>
                <w:szCs w:val="24"/>
              </w:rPr>
              <w:t xml:space="preserve"> at zero should be stated and supported.</w:t>
            </w:r>
          </w:p>
        </w:tc>
      </w:tr>
      <w:tr w:rsidR="00D71376" w:rsidRPr="006F77CB" w:rsidTr="00D71376">
        <w:tc>
          <w:tcPr>
            <w:tcW w:w="0" w:type="auto"/>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bCs/>
                <w:sz w:val="24"/>
                <w:szCs w:val="24"/>
              </w:rPr>
              <w:t>Internal references and presentation</w:t>
            </w:r>
          </w:p>
        </w:tc>
        <w:tc>
          <w:tcPr>
            <w:tcW w:w="6947" w:type="dxa"/>
            <w:hideMark/>
          </w:tcPr>
          <w:p w:rsidR="00D71376" w:rsidRPr="006F77CB" w:rsidRDefault="00D71376" w:rsidP="00D71376">
            <w:pPr>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Several references describe an earlier chapter structure—for example, Section 2.6 and references to facility reconciliation under Section 4.3 rather than 4.6. Correct these throughout. </w:t>
            </w:r>
            <w:proofErr w:type="spellStart"/>
            <w:r w:rsidRPr="006F77CB">
              <w:rPr>
                <w:rFonts w:ascii="Bookman Old Style" w:eastAsia="Times New Roman" w:hAnsi="Bookman Old Style" w:cs="Times New Roman"/>
                <w:sz w:val="24"/>
                <w:szCs w:val="24"/>
              </w:rPr>
              <w:t>Standardise</w:t>
            </w:r>
            <w:proofErr w:type="spellEnd"/>
            <w:r w:rsidRPr="006F77CB">
              <w:rPr>
                <w:rFonts w:ascii="Bookman Old Style" w:eastAsia="Times New Roman" w:hAnsi="Bookman Old Style" w:cs="Times New Roman"/>
                <w:sz w:val="24"/>
                <w:szCs w:val="24"/>
              </w:rPr>
              <w:t xml:space="preserve"> </w:t>
            </w:r>
            <w:proofErr w:type="spellStart"/>
            <w:r w:rsidRPr="006F77CB">
              <w:rPr>
                <w:rFonts w:ascii="Bookman Old Style" w:eastAsia="Times New Roman" w:hAnsi="Bookman Old Style" w:cs="Times New Roman"/>
                <w:sz w:val="24"/>
                <w:szCs w:val="24"/>
              </w:rPr>
              <w:t>programme</w:t>
            </w:r>
            <w:proofErr w:type="spellEnd"/>
            <w:r w:rsidRPr="006F77CB">
              <w:rPr>
                <w:rFonts w:ascii="Bookman Old Style" w:eastAsia="Times New Roman" w:hAnsi="Bookman Old Style" w:cs="Times New Roman"/>
                <w:sz w:val="24"/>
                <w:szCs w:val="24"/>
              </w:rPr>
              <w:t xml:space="preserve"> and institutional names, including “Reforms Coordination Unit”.</w:t>
            </w:r>
          </w:p>
        </w:tc>
      </w:tr>
      <w:tr w:rsidR="00D71376" w:rsidRPr="006F77CB" w:rsidTr="00D71376">
        <w:tc>
          <w:tcPr>
            <w:tcW w:w="0" w:type="auto"/>
          </w:tcPr>
          <w:p w:rsidR="00D71376" w:rsidRPr="006F77CB" w:rsidRDefault="00D71376" w:rsidP="00D71376">
            <w:pPr>
              <w:rPr>
                <w:rFonts w:ascii="Bookman Old Style" w:eastAsia="Times New Roman" w:hAnsi="Bookman Old Style" w:cs="Times New Roman"/>
                <w:bCs/>
                <w:sz w:val="24"/>
                <w:szCs w:val="24"/>
              </w:rPr>
            </w:pPr>
            <w:r w:rsidRPr="006F77CB">
              <w:rPr>
                <w:rFonts w:ascii="Bookman Old Style" w:eastAsia="Times New Roman" w:hAnsi="Bookman Old Style" w:cs="Times New Roman"/>
                <w:bCs/>
                <w:sz w:val="24"/>
                <w:szCs w:val="24"/>
              </w:rPr>
              <w:t>Missing and undelivered assets:</w:t>
            </w:r>
          </w:p>
        </w:tc>
        <w:tc>
          <w:tcPr>
            <w:tcW w:w="6947" w:type="dxa"/>
          </w:tcPr>
          <w:p w:rsidR="00D71376" w:rsidRPr="006F77CB" w:rsidRDefault="00D71376" w:rsidP="00D71376">
            <w:pPr>
              <w:spacing w:before="100" w:beforeAutospacing="1" w:after="100" w:afterAutospacing="1"/>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Provide separate schedules for the </w:t>
            </w:r>
            <w:r w:rsidRPr="006F77CB">
              <w:rPr>
                <w:rFonts w:ascii="Bookman Old Style" w:eastAsia="Times New Roman" w:hAnsi="Bookman Old Style" w:cs="Times New Roman"/>
                <w:bCs/>
                <w:sz w:val="24"/>
                <w:szCs w:val="24"/>
              </w:rPr>
              <w:t>525 assets reported stolen or lost</w:t>
            </w:r>
            <w:r w:rsidRPr="006F77CB">
              <w:rPr>
                <w:rFonts w:ascii="Bookman Old Style" w:eastAsia="Times New Roman" w:hAnsi="Bookman Old Style" w:cs="Times New Roman"/>
                <w:sz w:val="24"/>
                <w:szCs w:val="24"/>
              </w:rPr>
              <w:t xml:space="preserve">, the </w:t>
            </w:r>
            <w:r w:rsidRPr="006F77CB">
              <w:rPr>
                <w:rFonts w:ascii="Bookman Old Style" w:eastAsia="Times New Roman" w:hAnsi="Bookman Old Style" w:cs="Times New Roman"/>
                <w:bCs/>
                <w:sz w:val="24"/>
                <w:szCs w:val="24"/>
              </w:rPr>
              <w:t xml:space="preserve">16 assets being traced at </w:t>
            </w:r>
            <w:proofErr w:type="spellStart"/>
            <w:r w:rsidRPr="006F77CB">
              <w:rPr>
                <w:rFonts w:ascii="Bookman Old Style" w:eastAsia="Times New Roman" w:hAnsi="Bookman Old Style" w:cs="Times New Roman"/>
                <w:bCs/>
                <w:sz w:val="24"/>
                <w:szCs w:val="24"/>
              </w:rPr>
              <w:t>MoWT</w:t>
            </w:r>
            <w:proofErr w:type="spellEnd"/>
            <w:r w:rsidRPr="006F77CB">
              <w:rPr>
                <w:rFonts w:ascii="Bookman Old Style" w:eastAsia="Times New Roman" w:hAnsi="Bookman Old Style" w:cs="Times New Roman"/>
                <w:sz w:val="24"/>
                <w:szCs w:val="24"/>
              </w:rPr>
              <w:t xml:space="preserve">, and the </w:t>
            </w:r>
            <w:r w:rsidRPr="006F77CB">
              <w:rPr>
                <w:rFonts w:ascii="Bookman Old Style" w:eastAsia="Times New Roman" w:hAnsi="Bookman Old Style" w:cs="Times New Roman"/>
                <w:bCs/>
                <w:sz w:val="24"/>
                <w:szCs w:val="24"/>
              </w:rPr>
              <w:t>985 items reportedly not delivered to five seed schools</w:t>
            </w:r>
            <w:r w:rsidRPr="006F77CB">
              <w:rPr>
                <w:rFonts w:ascii="Bookman Old Style" w:eastAsia="Times New Roman" w:hAnsi="Bookman Old Style" w:cs="Times New Roman"/>
                <w:sz w:val="24"/>
                <w:szCs w:val="24"/>
              </w:rPr>
              <w:t>. Include descriptions, quantities, values, custodians, supporting records, payment status where relevant, and proposed follow-up.</w:t>
            </w:r>
          </w:p>
          <w:p w:rsidR="00D71376" w:rsidRPr="006F77CB" w:rsidRDefault="00D71376" w:rsidP="00D71376">
            <w:pPr>
              <w:rPr>
                <w:rFonts w:ascii="Bookman Old Style" w:eastAsia="Times New Roman" w:hAnsi="Bookman Old Style" w:cs="Times New Roman"/>
                <w:sz w:val="24"/>
                <w:szCs w:val="24"/>
              </w:rPr>
            </w:pPr>
          </w:p>
        </w:tc>
      </w:tr>
      <w:tr w:rsidR="00D71376" w:rsidRPr="006F77CB" w:rsidTr="00D71376">
        <w:tc>
          <w:tcPr>
            <w:tcW w:w="0" w:type="auto"/>
          </w:tcPr>
          <w:p w:rsidR="00D71376" w:rsidRPr="006F77CB" w:rsidRDefault="00D71376" w:rsidP="00D71376">
            <w:pPr>
              <w:rPr>
                <w:rFonts w:ascii="Bookman Old Style" w:eastAsia="Times New Roman" w:hAnsi="Bookman Old Style" w:cs="Times New Roman"/>
                <w:bCs/>
                <w:sz w:val="24"/>
                <w:szCs w:val="24"/>
              </w:rPr>
            </w:pPr>
            <w:proofErr w:type="spellStart"/>
            <w:r w:rsidRPr="006F77CB">
              <w:rPr>
                <w:rFonts w:ascii="Bookman Old Style" w:eastAsia="Times New Roman" w:hAnsi="Bookman Old Style" w:cs="Times New Roman"/>
                <w:bCs/>
                <w:sz w:val="24"/>
                <w:szCs w:val="24"/>
              </w:rPr>
              <w:t>Programme</w:t>
            </w:r>
            <w:proofErr w:type="spellEnd"/>
            <w:r w:rsidRPr="006F77CB">
              <w:rPr>
                <w:rFonts w:ascii="Bookman Old Style" w:eastAsia="Times New Roman" w:hAnsi="Bookman Old Style" w:cs="Times New Roman"/>
                <w:bCs/>
                <w:sz w:val="24"/>
                <w:szCs w:val="24"/>
              </w:rPr>
              <w:t>-list discrepancies:</w:t>
            </w:r>
          </w:p>
        </w:tc>
        <w:tc>
          <w:tcPr>
            <w:tcW w:w="6947" w:type="dxa"/>
          </w:tcPr>
          <w:p w:rsidR="00D71376" w:rsidRPr="006F77CB" w:rsidRDefault="00D71376" w:rsidP="00D71376">
            <w:pPr>
              <w:spacing w:before="100" w:beforeAutospacing="1" w:after="100" w:afterAutospacing="1"/>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For facilities recorded as complete but not found or not benefiting from </w:t>
            </w:r>
            <w:proofErr w:type="spellStart"/>
            <w:r w:rsidRPr="006F77CB">
              <w:rPr>
                <w:rFonts w:ascii="Bookman Old Style" w:eastAsia="Times New Roman" w:hAnsi="Bookman Old Style" w:cs="Times New Roman"/>
                <w:sz w:val="24"/>
                <w:szCs w:val="24"/>
              </w:rPr>
              <w:t>UgIFT</w:t>
            </w:r>
            <w:proofErr w:type="spellEnd"/>
            <w:r w:rsidRPr="006F77CB">
              <w:rPr>
                <w:rFonts w:ascii="Bookman Old Style" w:eastAsia="Times New Roman" w:hAnsi="Bookman Old Style" w:cs="Times New Roman"/>
                <w:sz w:val="24"/>
                <w:szCs w:val="24"/>
              </w:rPr>
              <w:t xml:space="preserve">, distinguish naming errors, approved substitutions, incorrect records and unresolved cases. Updating the list should follow </w:t>
            </w:r>
            <w:r w:rsidRPr="006F77CB">
              <w:rPr>
                <w:rFonts w:ascii="Bookman Old Style" w:eastAsia="Times New Roman" w:hAnsi="Bookman Old Style" w:cs="Times New Roman"/>
                <w:sz w:val="24"/>
                <w:szCs w:val="24"/>
              </w:rPr>
              <w:lastRenderedPageBreak/>
              <w:t>examination of the supporting approval, expenditure and completion records.</w:t>
            </w:r>
          </w:p>
          <w:p w:rsidR="00D71376" w:rsidRPr="006F77CB" w:rsidRDefault="00D71376" w:rsidP="00D71376">
            <w:pPr>
              <w:spacing w:before="100" w:beforeAutospacing="1" w:after="100" w:afterAutospacing="1"/>
              <w:rPr>
                <w:rFonts w:ascii="Bookman Old Style" w:eastAsia="Times New Roman" w:hAnsi="Bookman Old Style" w:cs="Times New Roman"/>
                <w:sz w:val="24"/>
                <w:szCs w:val="24"/>
              </w:rPr>
            </w:pPr>
          </w:p>
        </w:tc>
      </w:tr>
      <w:tr w:rsidR="00D71376" w:rsidRPr="006F77CB" w:rsidTr="00D71376">
        <w:tc>
          <w:tcPr>
            <w:tcW w:w="0" w:type="auto"/>
          </w:tcPr>
          <w:p w:rsidR="00D71376" w:rsidRPr="006F77CB" w:rsidRDefault="00D71376" w:rsidP="00D71376">
            <w:pPr>
              <w:rPr>
                <w:rFonts w:ascii="Bookman Old Style" w:eastAsia="Times New Roman" w:hAnsi="Bookman Old Style" w:cs="Times New Roman"/>
                <w:bCs/>
                <w:sz w:val="24"/>
                <w:szCs w:val="24"/>
              </w:rPr>
            </w:pPr>
            <w:r w:rsidRPr="006F77CB">
              <w:rPr>
                <w:rFonts w:ascii="Bookman Old Style" w:eastAsia="Times New Roman" w:hAnsi="Bookman Old Style" w:cs="Times New Roman"/>
                <w:bCs/>
                <w:sz w:val="24"/>
                <w:szCs w:val="24"/>
              </w:rPr>
              <w:lastRenderedPageBreak/>
              <w:t>Institutional handover:</w:t>
            </w:r>
          </w:p>
        </w:tc>
        <w:tc>
          <w:tcPr>
            <w:tcW w:w="6947" w:type="dxa"/>
          </w:tcPr>
          <w:p w:rsidR="00D71376" w:rsidRPr="006F77CB" w:rsidRDefault="00D71376" w:rsidP="00D71376">
            <w:pPr>
              <w:spacing w:before="100" w:beforeAutospacing="1" w:after="100" w:afterAutospacing="1"/>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Appendix G describes the information available but does not demonstrate completed handover. Add an institution-by-institution schedule showing the receiving Accounting Officer, register provided, acknowledgement, unresolved exceptions and handover status.</w:t>
            </w:r>
          </w:p>
          <w:p w:rsidR="00D71376" w:rsidRPr="006F77CB" w:rsidRDefault="00D71376" w:rsidP="00D71376">
            <w:pPr>
              <w:spacing w:before="100" w:beforeAutospacing="1" w:after="100" w:afterAutospacing="1"/>
              <w:rPr>
                <w:rFonts w:ascii="Bookman Old Style" w:eastAsia="Times New Roman" w:hAnsi="Bookman Old Style" w:cs="Times New Roman"/>
                <w:sz w:val="24"/>
                <w:szCs w:val="24"/>
              </w:rPr>
            </w:pPr>
          </w:p>
        </w:tc>
      </w:tr>
      <w:tr w:rsidR="00D71376" w:rsidRPr="006F77CB" w:rsidTr="00D71376">
        <w:tc>
          <w:tcPr>
            <w:tcW w:w="0" w:type="auto"/>
          </w:tcPr>
          <w:p w:rsidR="00D71376" w:rsidRPr="006F77CB" w:rsidRDefault="00D71376" w:rsidP="00D71376">
            <w:pPr>
              <w:rPr>
                <w:rFonts w:ascii="Bookman Old Style" w:eastAsia="Times New Roman" w:hAnsi="Bookman Old Style" w:cs="Times New Roman"/>
                <w:bCs/>
                <w:sz w:val="24"/>
                <w:szCs w:val="24"/>
              </w:rPr>
            </w:pPr>
            <w:r w:rsidRPr="006F77CB">
              <w:rPr>
                <w:rFonts w:ascii="Bookman Old Style" w:eastAsia="Times New Roman" w:hAnsi="Bookman Old Style" w:cs="Times New Roman"/>
                <w:bCs/>
                <w:sz w:val="24"/>
                <w:szCs w:val="24"/>
              </w:rPr>
              <w:t>Action plan:</w:t>
            </w:r>
          </w:p>
        </w:tc>
        <w:tc>
          <w:tcPr>
            <w:tcW w:w="6947" w:type="dxa"/>
          </w:tcPr>
          <w:p w:rsidR="00D71376" w:rsidRPr="006F77CB" w:rsidRDefault="00D71376" w:rsidP="00D71376">
            <w:pPr>
              <w:spacing w:before="100" w:beforeAutospacing="1" w:after="100" w:afterAutospacing="1"/>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 xml:space="preserve">Table 33 already provides owners, timelines and evidence of completion. Strengthen it by naming one lead institution for each action, indicating estimated costs and funding sources, and adding explicit actions for missing assets, undelivered supplies, </w:t>
            </w:r>
            <w:proofErr w:type="spellStart"/>
            <w:r w:rsidRPr="006F77CB">
              <w:rPr>
                <w:rFonts w:ascii="Bookman Old Style" w:eastAsia="Times New Roman" w:hAnsi="Bookman Old Style" w:cs="Times New Roman"/>
                <w:sz w:val="24"/>
                <w:szCs w:val="24"/>
              </w:rPr>
              <w:t>programme</w:t>
            </w:r>
            <w:proofErr w:type="spellEnd"/>
            <w:r w:rsidRPr="006F77CB">
              <w:rPr>
                <w:rFonts w:ascii="Bookman Old Style" w:eastAsia="Times New Roman" w:hAnsi="Bookman Old Style" w:cs="Times New Roman"/>
                <w:sz w:val="24"/>
                <w:szCs w:val="24"/>
              </w:rPr>
              <w:t>-list reconciliation and financial corrections.</w:t>
            </w:r>
          </w:p>
          <w:p w:rsidR="00D71376" w:rsidRPr="006F77CB" w:rsidRDefault="00D71376" w:rsidP="00D71376">
            <w:pPr>
              <w:spacing w:before="100" w:beforeAutospacing="1" w:after="100" w:afterAutospacing="1"/>
              <w:rPr>
                <w:rFonts w:ascii="Bookman Old Style" w:eastAsia="Times New Roman" w:hAnsi="Bookman Old Style" w:cs="Times New Roman"/>
                <w:sz w:val="24"/>
                <w:szCs w:val="24"/>
              </w:rPr>
            </w:pPr>
          </w:p>
        </w:tc>
      </w:tr>
      <w:tr w:rsidR="00D71376" w:rsidRPr="006F77CB" w:rsidTr="00D71376">
        <w:tc>
          <w:tcPr>
            <w:tcW w:w="0" w:type="auto"/>
          </w:tcPr>
          <w:p w:rsidR="00D71376" w:rsidRPr="006F77CB" w:rsidRDefault="00D71376" w:rsidP="00D71376">
            <w:pPr>
              <w:rPr>
                <w:rFonts w:ascii="Bookman Old Style" w:eastAsia="Times New Roman" w:hAnsi="Bookman Old Style" w:cs="Times New Roman"/>
                <w:bCs/>
                <w:sz w:val="24"/>
                <w:szCs w:val="24"/>
              </w:rPr>
            </w:pPr>
            <w:r w:rsidRPr="006F77CB">
              <w:rPr>
                <w:rFonts w:ascii="Bookman Old Style" w:eastAsia="Times New Roman" w:hAnsi="Bookman Old Style" w:cs="Times New Roman"/>
                <w:bCs/>
                <w:sz w:val="24"/>
                <w:szCs w:val="24"/>
              </w:rPr>
              <w:t>Service benefits:</w:t>
            </w:r>
          </w:p>
        </w:tc>
        <w:tc>
          <w:tcPr>
            <w:tcW w:w="6947" w:type="dxa"/>
          </w:tcPr>
          <w:p w:rsidR="00D71376" w:rsidRPr="006F77CB" w:rsidRDefault="00D71376" w:rsidP="00D71376">
            <w:pPr>
              <w:spacing w:before="100" w:beforeAutospacing="1" w:after="100" w:afterAutospacing="1"/>
              <w:rPr>
                <w:rFonts w:ascii="Bookman Old Style" w:eastAsia="Times New Roman" w:hAnsi="Bookman Old Style" w:cs="Times New Roman"/>
                <w:sz w:val="24"/>
                <w:szCs w:val="24"/>
              </w:rPr>
            </w:pPr>
            <w:r w:rsidRPr="006F77CB">
              <w:rPr>
                <w:rFonts w:ascii="Bookman Old Style" w:eastAsia="Times New Roman" w:hAnsi="Bookman Old Style" w:cs="Times New Roman"/>
                <w:sz w:val="24"/>
                <w:szCs w:val="24"/>
              </w:rPr>
              <w:t>The report appropriately identifies many benefits as facility managers’ accounts. Retain that qualification and give the source and comparison periods for numerical examples such as enrolment and patient attendance increases.</w:t>
            </w:r>
          </w:p>
          <w:p w:rsidR="00D71376" w:rsidRPr="006F77CB" w:rsidRDefault="00D71376" w:rsidP="00D71376">
            <w:pPr>
              <w:spacing w:before="100" w:beforeAutospacing="1" w:after="100" w:afterAutospacing="1"/>
              <w:rPr>
                <w:rFonts w:ascii="Bookman Old Style" w:eastAsia="Times New Roman" w:hAnsi="Bookman Old Style" w:cs="Times New Roman"/>
                <w:sz w:val="24"/>
                <w:szCs w:val="24"/>
              </w:rPr>
            </w:pPr>
          </w:p>
        </w:tc>
      </w:tr>
    </w:tbl>
    <w:p w:rsidR="00D71376" w:rsidRPr="006F77CB" w:rsidRDefault="00D71376" w:rsidP="00D71376">
      <w:pPr>
        <w:spacing w:before="100" w:beforeAutospacing="1" w:after="100" w:afterAutospacing="1" w:line="240" w:lineRule="auto"/>
        <w:rPr>
          <w:rFonts w:ascii="Bookman Old Style" w:eastAsia="Times New Roman" w:hAnsi="Bookman Old Style" w:cs="Times New Roman"/>
          <w:sz w:val="24"/>
          <w:szCs w:val="24"/>
        </w:rPr>
      </w:pPr>
    </w:p>
    <w:bookmarkEnd w:id="0"/>
    <w:p w:rsidR="00D71376" w:rsidRPr="006F77CB" w:rsidRDefault="00D71376" w:rsidP="00D71376">
      <w:pPr>
        <w:rPr>
          <w:rFonts w:ascii="Bookman Old Style" w:hAnsi="Bookman Old Style"/>
        </w:rPr>
      </w:pPr>
    </w:p>
    <w:sectPr w:rsidR="00D71376" w:rsidRPr="006F77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D226D"/>
    <w:multiLevelType w:val="multilevel"/>
    <w:tmpl w:val="B87E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376"/>
    <w:rsid w:val="006F77CB"/>
    <w:rsid w:val="008E3118"/>
    <w:rsid w:val="00C0047D"/>
    <w:rsid w:val="00D71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2EAA7"/>
  <w15:chartTrackingRefBased/>
  <w15:docId w15:val="{07BFA7C5-45ED-44B9-BE98-F5964A604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13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1376"/>
    <w:rPr>
      <w:b/>
      <w:bCs/>
    </w:rPr>
  </w:style>
  <w:style w:type="paragraph" w:styleId="z-TopofForm">
    <w:name w:val="HTML Top of Form"/>
    <w:basedOn w:val="Normal"/>
    <w:next w:val="Normal"/>
    <w:link w:val="z-TopofFormChar"/>
    <w:hidden/>
    <w:uiPriority w:val="99"/>
    <w:semiHidden/>
    <w:unhideWhenUsed/>
    <w:rsid w:val="00D7137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7137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7137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71376"/>
    <w:rPr>
      <w:rFonts w:ascii="Arial" w:eastAsia="Times New Roman" w:hAnsi="Arial" w:cs="Arial"/>
      <w:vanish/>
      <w:sz w:val="16"/>
      <w:szCs w:val="16"/>
    </w:rPr>
  </w:style>
  <w:style w:type="table" w:styleId="TableGrid">
    <w:name w:val="Table Grid"/>
    <w:basedOn w:val="TableNormal"/>
    <w:uiPriority w:val="39"/>
    <w:rsid w:val="00D71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705608">
      <w:bodyDiv w:val="1"/>
      <w:marLeft w:val="0"/>
      <w:marRight w:val="0"/>
      <w:marTop w:val="0"/>
      <w:marBottom w:val="0"/>
      <w:divBdr>
        <w:top w:val="none" w:sz="0" w:space="0" w:color="auto"/>
        <w:left w:val="none" w:sz="0" w:space="0" w:color="auto"/>
        <w:bottom w:val="none" w:sz="0" w:space="0" w:color="auto"/>
        <w:right w:val="none" w:sz="0" w:space="0" w:color="auto"/>
      </w:divBdr>
      <w:divsChild>
        <w:div w:id="1570920829">
          <w:marLeft w:val="0"/>
          <w:marRight w:val="0"/>
          <w:marTop w:val="0"/>
          <w:marBottom w:val="0"/>
          <w:divBdr>
            <w:top w:val="none" w:sz="0" w:space="0" w:color="auto"/>
            <w:left w:val="none" w:sz="0" w:space="0" w:color="auto"/>
            <w:bottom w:val="none" w:sz="0" w:space="0" w:color="auto"/>
            <w:right w:val="none" w:sz="0" w:space="0" w:color="auto"/>
          </w:divBdr>
          <w:divsChild>
            <w:div w:id="616718328">
              <w:marLeft w:val="0"/>
              <w:marRight w:val="0"/>
              <w:marTop w:val="0"/>
              <w:marBottom w:val="0"/>
              <w:divBdr>
                <w:top w:val="none" w:sz="0" w:space="0" w:color="auto"/>
                <w:left w:val="none" w:sz="0" w:space="0" w:color="auto"/>
                <w:bottom w:val="none" w:sz="0" w:space="0" w:color="auto"/>
                <w:right w:val="none" w:sz="0" w:space="0" w:color="auto"/>
              </w:divBdr>
              <w:divsChild>
                <w:div w:id="1308589559">
                  <w:marLeft w:val="0"/>
                  <w:marRight w:val="0"/>
                  <w:marTop w:val="0"/>
                  <w:marBottom w:val="0"/>
                  <w:divBdr>
                    <w:top w:val="none" w:sz="0" w:space="0" w:color="auto"/>
                    <w:left w:val="none" w:sz="0" w:space="0" w:color="auto"/>
                    <w:bottom w:val="none" w:sz="0" w:space="0" w:color="auto"/>
                    <w:right w:val="none" w:sz="0" w:space="0" w:color="auto"/>
                  </w:divBdr>
                  <w:divsChild>
                    <w:div w:id="482427667">
                      <w:marLeft w:val="0"/>
                      <w:marRight w:val="0"/>
                      <w:marTop w:val="0"/>
                      <w:marBottom w:val="0"/>
                      <w:divBdr>
                        <w:top w:val="none" w:sz="0" w:space="0" w:color="auto"/>
                        <w:left w:val="none" w:sz="0" w:space="0" w:color="auto"/>
                        <w:bottom w:val="none" w:sz="0" w:space="0" w:color="auto"/>
                        <w:right w:val="none" w:sz="0" w:space="0" w:color="auto"/>
                      </w:divBdr>
                      <w:divsChild>
                        <w:div w:id="213582355">
                          <w:marLeft w:val="0"/>
                          <w:marRight w:val="0"/>
                          <w:marTop w:val="0"/>
                          <w:marBottom w:val="0"/>
                          <w:divBdr>
                            <w:top w:val="none" w:sz="0" w:space="0" w:color="auto"/>
                            <w:left w:val="none" w:sz="0" w:space="0" w:color="auto"/>
                            <w:bottom w:val="none" w:sz="0" w:space="0" w:color="auto"/>
                            <w:right w:val="none" w:sz="0" w:space="0" w:color="auto"/>
                          </w:divBdr>
                          <w:divsChild>
                            <w:div w:id="1274049955">
                              <w:marLeft w:val="0"/>
                              <w:marRight w:val="0"/>
                              <w:marTop w:val="0"/>
                              <w:marBottom w:val="0"/>
                              <w:divBdr>
                                <w:top w:val="none" w:sz="0" w:space="0" w:color="auto"/>
                                <w:left w:val="none" w:sz="0" w:space="0" w:color="auto"/>
                                <w:bottom w:val="none" w:sz="0" w:space="0" w:color="auto"/>
                                <w:right w:val="none" w:sz="0" w:space="0" w:color="auto"/>
                              </w:divBdr>
                              <w:divsChild>
                                <w:div w:id="1956016515">
                                  <w:marLeft w:val="0"/>
                                  <w:marRight w:val="0"/>
                                  <w:marTop w:val="0"/>
                                  <w:marBottom w:val="0"/>
                                  <w:divBdr>
                                    <w:top w:val="none" w:sz="0" w:space="0" w:color="auto"/>
                                    <w:left w:val="none" w:sz="0" w:space="0" w:color="auto"/>
                                    <w:bottom w:val="none" w:sz="0" w:space="0" w:color="auto"/>
                                    <w:right w:val="none" w:sz="0" w:space="0" w:color="auto"/>
                                  </w:divBdr>
                                  <w:divsChild>
                                    <w:div w:id="1677807284">
                                      <w:marLeft w:val="0"/>
                                      <w:marRight w:val="0"/>
                                      <w:marTop w:val="0"/>
                                      <w:marBottom w:val="0"/>
                                      <w:divBdr>
                                        <w:top w:val="none" w:sz="0" w:space="0" w:color="auto"/>
                                        <w:left w:val="none" w:sz="0" w:space="0" w:color="auto"/>
                                        <w:bottom w:val="none" w:sz="0" w:space="0" w:color="auto"/>
                                        <w:right w:val="none" w:sz="0" w:space="0" w:color="auto"/>
                                      </w:divBdr>
                                      <w:divsChild>
                                        <w:div w:id="153956178">
                                          <w:marLeft w:val="0"/>
                                          <w:marRight w:val="0"/>
                                          <w:marTop w:val="0"/>
                                          <w:marBottom w:val="0"/>
                                          <w:divBdr>
                                            <w:top w:val="none" w:sz="0" w:space="0" w:color="auto"/>
                                            <w:left w:val="none" w:sz="0" w:space="0" w:color="auto"/>
                                            <w:bottom w:val="none" w:sz="0" w:space="0" w:color="auto"/>
                                            <w:right w:val="none" w:sz="0" w:space="0" w:color="auto"/>
                                          </w:divBdr>
                                          <w:divsChild>
                                            <w:div w:id="1220627715">
                                              <w:marLeft w:val="0"/>
                                              <w:marRight w:val="0"/>
                                              <w:marTop w:val="0"/>
                                              <w:marBottom w:val="0"/>
                                              <w:divBdr>
                                                <w:top w:val="none" w:sz="0" w:space="0" w:color="auto"/>
                                                <w:left w:val="none" w:sz="0" w:space="0" w:color="auto"/>
                                                <w:bottom w:val="none" w:sz="0" w:space="0" w:color="auto"/>
                                                <w:right w:val="none" w:sz="0" w:space="0" w:color="auto"/>
                                              </w:divBdr>
                                              <w:divsChild>
                                                <w:div w:id="377318519">
                                                  <w:marLeft w:val="0"/>
                                                  <w:marRight w:val="0"/>
                                                  <w:marTop w:val="0"/>
                                                  <w:marBottom w:val="0"/>
                                                  <w:divBdr>
                                                    <w:top w:val="none" w:sz="0" w:space="0" w:color="auto"/>
                                                    <w:left w:val="none" w:sz="0" w:space="0" w:color="auto"/>
                                                    <w:bottom w:val="none" w:sz="0" w:space="0" w:color="auto"/>
                                                    <w:right w:val="none" w:sz="0" w:space="0" w:color="auto"/>
                                                  </w:divBdr>
                                                  <w:divsChild>
                                                    <w:div w:id="767240859">
                                                      <w:marLeft w:val="0"/>
                                                      <w:marRight w:val="0"/>
                                                      <w:marTop w:val="0"/>
                                                      <w:marBottom w:val="0"/>
                                                      <w:divBdr>
                                                        <w:top w:val="none" w:sz="0" w:space="0" w:color="auto"/>
                                                        <w:left w:val="none" w:sz="0" w:space="0" w:color="auto"/>
                                                        <w:bottom w:val="none" w:sz="0" w:space="0" w:color="auto"/>
                                                        <w:right w:val="none" w:sz="0" w:space="0" w:color="auto"/>
                                                      </w:divBdr>
                                                      <w:divsChild>
                                                        <w:div w:id="7606011">
                                                          <w:marLeft w:val="0"/>
                                                          <w:marRight w:val="0"/>
                                                          <w:marTop w:val="0"/>
                                                          <w:marBottom w:val="0"/>
                                                          <w:divBdr>
                                                            <w:top w:val="none" w:sz="0" w:space="0" w:color="auto"/>
                                                            <w:left w:val="none" w:sz="0" w:space="0" w:color="auto"/>
                                                            <w:bottom w:val="none" w:sz="0" w:space="0" w:color="auto"/>
                                                            <w:right w:val="none" w:sz="0" w:space="0" w:color="auto"/>
                                                          </w:divBdr>
                                                          <w:divsChild>
                                                            <w:div w:id="1279219131">
                                                              <w:marLeft w:val="0"/>
                                                              <w:marRight w:val="0"/>
                                                              <w:marTop w:val="0"/>
                                                              <w:marBottom w:val="0"/>
                                                              <w:divBdr>
                                                                <w:top w:val="none" w:sz="0" w:space="0" w:color="auto"/>
                                                                <w:left w:val="none" w:sz="0" w:space="0" w:color="auto"/>
                                                                <w:bottom w:val="none" w:sz="0" w:space="0" w:color="auto"/>
                                                                <w:right w:val="none" w:sz="0" w:space="0" w:color="auto"/>
                                                              </w:divBdr>
                                                              <w:divsChild>
                                                                <w:div w:id="1401560942">
                                                                  <w:marLeft w:val="0"/>
                                                                  <w:marRight w:val="0"/>
                                                                  <w:marTop w:val="0"/>
                                                                  <w:marBottom w:val="0"/>
                                                                  <w:divBdr>
                                                                    <w:top w:val="none" w:sz="0" w:space="0" w:color="auto"/>
                                                                    <w:left w:val="none" w:sz="0" w:space="0" w:color="auto"/>
                                                                    <w:bottom w:val="none" w:sz="0" w:space="0" w:color="auto"/>
                                                                    <w:right w:val="none" w:sz="0" w:space="0" w:color="auto"/>
                                                                  </w:divBdr>
                                                                  <w:divsChild>
                                                                    <w:div w:id="1070613487">
                                                                      <w:marLeft w:val="0"/>
                                                                      <w:marRight w:val="0"/>
                                                                      <w:marTop w:val="0"/>
                                                                      <w:marBottom w:val="0"/>
                                                                      <w:divBdr>
                                                                        <w:top w:val="none" w:sz="0" w:space="0" w:color="auto"/>
                                                                        <w:left w:val="none" w:sz="0" w:space="0" w:color="auto"/>
                                                                        <w:bottom w:val="none" w:sz="0" w:space="0" w:color="auto"/>
                                                                        <w:right w:val="none" w:sz="0" w:space="0" w:color="auto"/>
                                                                      </w:divBdr>
                                                                      <w:divsChild>
                                                                        <w:div w:id="395132757">
                                                                          <w:marLeft w:val="0"/>
                                                                          <w:marRight w:val="0"/>
                                                                          <w:marTop w:val="0"/>
                                                                          <w:marBottom w:val="0"/>
                                                                          <w:divBdr>
                                                                            <w:top w:val="none" w:sz="0" w:space="0" w:color="auto"/>
                                                                            <w:left w:val="none" w:sz="0" w:space="0" w:color="auto"/>
                                                                            <w:bottom w:val="none" w:sz="0" w:space="0" w:color="auto"/>
                                                                            <w:right w:val="none" w:sz="0" w:space="0" w:color="auto"/>
                                                                          </w:divBdr>
                                                                          <w:divsChild>
                                                                            <w:div w:id="949506278">
                                                                              <w:marLeft w:val="0"/>
                                                                              <w:marRight w:val="0"/>
                                                                              <w:marTop w:val="0"/>
                                                                              <w:marBottom w:val="0"/>
                                                                              <w:divBdr>
                                                                                <w:top w:val="none" w:sz="0" w:space="0" w:color="auto"/>
                                                                                <w:left w:val="none" w:sz="0" w:space="0" w:color="auto"/>
                                                                                <w:bottom w:val="none" w:sz="0" w:space="0" w:color="auto"/>
                                                                                <w:right w:val="none" w:sz="0" w:space="0" w:color="auto"/>
                                                                              </w:divBdr>
                                                                              <w:divsChild>
                                                                                <w:div w:id="1659308554">
                                                                                  <w:marLeft w:val="0"/>
                                                                                  <w:marRight w:val="0"/>
                                                                                  <w:marTop w:val="0"/>
                                                                                  <w:marBottom w:val="0"/>
                                                                                  <w:divBdr>
                                                                                    <w:top w:val="none" w:sz="0" w:space="0" w:color="auto"/>
                                                                                    <w:left w:val="none" w:sz="0" w:space="0" w:color="auto"/>
                                                                                    <w:bottom w:val="none" w:sz="0" w:space="0" w:color="auto"/>
                                                                                    <w:right w:val="none" w:sz="0" w:space="0" w:color="auto"/>
                                                                                  </w:divBdr>
                                                                                  <w:divsChild>
                                                                                    <w:div w:id="194268604">
                                                                                      <w:marLeft w:val="0"/>
                                                                                      <w:marRight w:val="0"/>
                                                                                      <w:marTop w:val="0"/>
                                                                                      <w:marBottom w:val="0"/>
                                                                                      <w:divBdr>
                                                                                        <w:top w:val="none" w:sz="0" w:space="0" w:color="auto"/>
                                                                                        <w:left w:val="none" w:sz="0" w:space="0" w:color="auto"/>
                                                                                        <w:bottom w:val="none" w:sz="0" w:space="0" w:color="auto"/>
                                                                                        <w:right w:val="none" w:sz="0" w:space="0" w:color="auto"/>
                                                                                      </w:divBdr>
                                                                                      <w:divsChild>
                                                                                        <w:div w:id="816844164">
                                                                                          <w:marLeft w:val="0"/>
                                                                                          <w:marRight w:val="0"/>
                                                                                          <w:marTop w:val="0"/>
                                                                                          <w:marBottom w:val="0"/>
                                                                                          <w:divBdr>
                                                                                            <w:top w:val="none" w:sz="0" w:space="0" w:color="auto"/>
                                                                                            <w:left w:val="none" w:sz="0" w:space="0" w:color="auto"/>
                                                                                            <w:bottom w:val="none" w:sz="0" w:space="0" w:color="auto"/>
                                                                                            <w:right w:val="none" w:sz="0" w:space="0" w:color="auto"/>
                                                                                          </w:divBdr>
                                                                                          <w:divsChild>
                                                                                            <w:div w:id="141408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8595518">
          <w:marLeft w:val="0"/>
          <w:marRight w:val="0"/>
          <w:marTop w:val="0"/>
          <w:marBottom w:val="0"/>
          <w:divBdr>
            <w:top w:val="none" w:sz="0" w:space="0" w:color="auto"/>
            <w:left w:val="none" w:sz="0" w:space="0" w:color="auto"/>
            <w:bottom w:val="none" w:sz="0" w:space="0" w:color="auto"/>
            <w:right w:val="none" w:sz="0" w:space="0" w:color="auto"/>
          </w:divBdr>
          <w:divsChild>
            <w:div w:id="592011435">
              <w:marLeft w:val="0"/>
              <w:marRight w:val="0"/>
              <w:marTop w:val="0"/>
              <w:marBottom w:val="0"/>
              <w:divBdr>
                <w:top w:val="none" w:sz="0" w:space="0" w:color="auto"/>
                <w:left w:val="none" w:sz="0" w:space="0" w:color="auto"/>
                <w:bottom w:val="none" w:sz="0" w:space="0" w:color="auto"/>
                <w:right w:val="none" w:sz="0" w:space="0" w:color="auto"/>
              </w:divBdr>
              <w:divsChild>
                <w:div w:id="526065560">
                  <w:marLeft w:val="0"/>
                  <w:marRight w:val="0"/>
                  <w:marTop w:val="0"/>
                  <w:marBottom w:val="0"/>
                  <w:divBdr>
                    <w:top w:val="none" w:sz="0" w:space="0" w:color="auto"/>
                    <w:left w:val="none" w:sz="0" w:space="0" w:color="auto"/>
                    <w:bottom w:val="none" w:sz="0" w:space="0" w:color="auto"/>
                    <w:right w:val="none" w:sz="0" w:space="0" w:color="auto"/>
                  </w:divBdr>
                  <w:divsChild>
                    <w:div w:id="784084302">
                      <w:marLeft w:val="0"/>
                      <w:marRight w:val="0"/>
                      <w:marTop w:val="0"/>
                      <w:marBottom w:val="0"/>
                      <w:divBdr>
                        <w:top w:val="none" w:sz="0" w:space="0" w:color="auto"/>
                        <w:left w:val="none" w:sz="0" w:space="0" w:color="auto"/>
                        <w:bottom w:val="none" w:sz="0" w:space="0" w:color="auto"/>
                        <w:right w:val="none" w:sz="0" w:space="0" w:color="auto"/>
                      </w:divBdr>
                      <w:divsChild>
                        <w:div w:id="1152022691">
                          <w:marLeft w:val="0"/>
                          <w:marRight w:val="0"/>
                          <w:marTop w:val="0"/>
                          <w:marBottom w:val="0"/>
                          <w:divBdr>
                            <w:top w:val="none" w:sz="0" w:space="0" w:color="auto"/>
                            <w:left w:val="none" w:sz="0" w:space="0" w:color="auto"/>
                            <w:bottom w:val="none" w:sz="0" w:space="0" w:color="auto"/>
                            <w:right w:val="none" w:sz="0" w:space="0" w:color="auto"/>
                          </w:divBdr>
                          <w:divsChild>
                            <w:div w:id="954481243">
                              <w:marLeft w:val="0"/>
                              <w:marRight w:val="0"/>
                              <w:marTop w:val="0"/>
                              <w:marBottom w:val="0"/>
                              <w:divBdr>
                                <w:top w:val="none" w:sz="0" w:space="0" w:color="auto"/>
                                <w:left w:val="none" w:sz="0" w:space="0" w:color="auto"/>
                                <w:bottom w:val="none" w:sz="0" w:space="0" w:color="auto"/>
                                <w:right w:val="none" w:sz="0" w:space="0" w:color="auto"/>
                              </w:divBdr>
                              <w:divsChild>
                                <w:div w:id="1853688737">
                                  <w:marLeft w:val="0"/>
                                  <w:marRight w:val="0"/>
                                  <w:marTop w:val="0"/>
                                  <w:marBottom w:val="0"/>
                                  <w:divBdr>
                                    <w:top w:val="none" w:sz="0" w:space="0" w:color="auto"/>
                                    <w:left w:val="none" w:sz="0" w:space="0" w:color="auto"/>
                                    <w:bottom w:val="none" w:sz="0" w:space="0" w:color="auto"/>
                                    <w:right w:val="none" w:sz="0" w:space="0" w:color="auto"/>
                                  </w:divBdr>
                                  <w:divsChild>
                                    <w:div w:id="2058501998">
                                      <w:marLeft w:val="0"/>
                                      <w:marRight w:val="0"/>
                                      <w:marTop w:val="0"/>
                                      <w:marBottom w:val="0"/>
                                      <w:divBdr>
                                        <w:top w:val="none" w:sz="0" w:space="0" w:color="auto"/>
                                        <w:left w:val="none" w:sz="0" w:space="0" w:color="auto"/>
                                        <w:bottom w:val="none" w:sz="0" w:space="0" w:color="auto"/>
                                        <w:right w:val="none" w:sz="0" w:space="0" w:color="auto"/>
                                      </w:divBdr>
                                      <w:divsChild>
                                        <w:div w:id="1108087722">
                                          <w:marLeft w:val="0"/>
                                          <w:marRight w:val="0"/>
                                          <w:marTop w:val="0"/>
                                          <w:marBottom w:val="0"/>
                                          <w:divBdr>
                                            <w:top w:val="none" w:sz="0" w:space="0" w:color="auto"/>
                                            <w:left w:val="none" w:sz="0" w:space="0" w:color="auto"/>
                                            <w:bottom w:val="none" w:sz="0" w:space="0" w:color="auto"/>
                                            <w:right w:val="none" w:sz="0" w:space="0" w:color="auto"/>
                                          </w:divBdr>
                                          <w:divsChild>
                                            <w:div w:id="1289971674">
                                              <w:marLeft w:val="0"/>
                                              <w:marRight w:val="0"/>
                                              <w:marTop w:val="0"/>
                                              <w:marBottom w:val="0"/>
                                              <w:divBdr>
                                                <w:top w:val="none" w:sz="0" w:space="0" w:color="auto"/>
                                                <w:left w:val="none" w:sz="0" w:space="0" w:color="auto"/>
                                                <w:bottom w:val="none" w:sz="0" w:space="0" w:color="auto"/>
                                                <w:right w:val="none" w:sz="0" w:space="0" w:color="auto"/>
                                              </w:divBdr>
                                              <w:divsChild>
                                                <w:div w:id="117422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2026-10-02T11:29:00Z</dcterms:created>
  <dcterms:modified xsi:type="dcterms:W3CDTF">2026-10-02T11:41:00Z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4e4b3bac-fc16-473d-8440-954456167d06</vt:lpwstr>
  </property>
</Properties>
</file>