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Mugiti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Mugiti Seed Secondary School</w:t>
            </w:r>
          </w:p>
        </w:tc>
      </w:tr>
      <w:tr>
        <w:tc>
          <w:tcPr>
            <w:tcW w:type="dxa" w:w="4320"/>
          </w:tcPr>
          <w:p>
            <w:r/>
            <w:r>
              <w:rPr>
                <w:b w:val="0"/>
                <w:i w:val="0"/>
              </w:rPr>
              <w:t>Named on the programme list</w:t>
            </w:r>
          </w:p>
        </w:tc>
        <w:tc>
          <w:tcPr>
            <w:tcW w:type="dxa" w:w="4320"/>
          </w:tcPr>
          <w:p>
            <w:r/>
            <w:r>
              <w:rPr>
                <w:b w:val="0"/>
                <w:i w:val="0"/>
              </w:rPr>
              <w:t>Mugiti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One member</w:t>
            </w:r>
          </w:p>
        </w:tc>
      </w:tr>
      <w:tr>
        <w:tc>
          <w:tcPr>
            <w:tcW w:type="dxa" w:w="4320"/>
          </w:tcPr>
          <w:p>
            <w:r/>
            <w:r>
              <w:rPr>
                <w:b w:val="0"/>
                <w:i w:val="0"/>
              </w:rPr>
              <w:t>Informant interviewed</w:t>
            </w:r>
          </w:p>
        </w:tc>
        <w:tc>
          <w:tcPr>
            <w:tcW w:type="dxa" w:w="4320"/>
          </w:tcPr>
          <w:p>
            <w:r/>
            <w:r>
              <w:rPr>
                <w:b w:val="0"/>
                <w:i w:val="0"/>
              </w:rPr>
              <w:t>Not named. The school's land papers were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reached on the one day the team worked this district. Its grounds and the outside of its blocks were gone round and its land papers were handed over. No visitors' register was seen, who received the member is not recorded,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Established, and unresolved. The school's own return to the ministry puts it on Plot 1570 Block 2 in Mugiti sub-county, 2.0750 hectares held freehold, foundation body Budaka District Local Government, all of it built on or in use. Against that the same return records that the district surveyed the land, that the owner has never been compensated as agreed and that the owner threatens litigation. The school holds no title.</w:t>
            </w:r>
          </w:p>
        </w:tc>
      </w:tr>
      <w:tr>
        <w:tc>
          <w:tcPr>
            <w:tcW w:type="dxa" w:w="4320"/>
          </w:tcPr>
          <w:p>
            <w:r/>
            <w:r>
              <w:rPr>
                <w:b w:val="0"/>
                <w:i w:val="0"/>
              </w:rPr>
              <w:t>Functionality</w:t>
            </w:r>
          </w:p>
        </w:tc>
        <w:tc>
          <w:tcPr>
            <w:tcW w:type="dxa" w:w="4320"/>
          </w:tcPr>
          <w:p>
            <w:r/>
            <w:r>
              <w:rPr>
                <w:b w:val="0"/>
                <w:i w:val="0"/>
              </w:rPr>
              <w:t>Not reported for any movable asset, none having been seen. Three socket boxes stand with their covers off and their wiring showing, and one window has a pane out of it.</w:t>
            </w:r>
          </w:p>
        </w:tc>
      </w:tr>
      <w:tr>
        <w:tc>
          <w:tcPr>
            <w:tcW w:type="dxa" w:w="4320"/>
          </w:tcPr>
          <w:p>
            <w:r/>
            <w:r>
              <w:rPr>
                <w:b w:val="0"/>
                <w:i w:val="0"/>
              </w:rPr>
              <w:t>Usage / performance</w:t>
            </w:r>
          </w:p>
        </w:tc>
        <w:tc>
          <w:tcPr>
            <w:tcW w:type="dxa" w:w="4320"/>
          </w:tcPr>
          <w:p>
            <w:r/>
            <w:r>
              <w:rPr>
                <w:b w:val="0"/>
                <w:i w:val="0"/>
              </w:rPr>
              <w:t>The blocks are in use as a school. Nothing else here has a usage against it, no movable asset having been recorded.</w:t>
            </w:r>
          </w:p>
        </w:tc>
      </w:tr>
      <w:tr>
        <w:tc>
          <w:tcPr>
            <w:tcW w:type="dxa" w:w="4320"/>
          </w:tcPr>
          <w:p>
            <w:r/>
            <w:r>
              <w:rPr>
                <w:b w:val="0"/>
                <w:i w:val="0"/>
              </w:rPr>
              <w:t>Location</w:t>
            </w:r>
          </w:p>
        </w:tc>
        <w:tc>
          <w:tcPr>
            <w:tcW w:type="dxa" w:w="4320"/>
          </w:tcPr>
          <w:p>
            <w:r/>
            <w:r>
              <w:rPr>
                <w:b w:val="0"/>
                <w:i w:val="0"/>
              </w:rPr>
              <w:t>The classroom, latrine and staff blocks and the grounds were recorded where they stand. No room was gone into and no item was placed.</w:t>
            </w:r>
          </w:p>
        </w:tc>
      </w:tr>
    </w:tbl>
    <w:p/>
    <w:p>
      <w:pPr>
        <w:pStyle w:val="Heading1"/>
      </w:pPr>
      <w:r>
        <w:t>4. Supplied against found</w:t>
      </w:r>
    </w:p>
    <w:p>
      <w:r>
        <w:rPr>
          <w:b/>
          <w:i w:val="0"/>
        </w:rPr>
        <w:t>Neither side exists here.</w:t>
      </w:r>
      <w:r>
        <w:rPr>
          <w:b w:val="0"/>
          <w:i w:val="0"/>
        </w:rPr>
        <w:t xml:space="preserve"> No delivery note, invoice or schedule for this school is on file, the district produced no record of assets, and nothing movable was seen or counted. The comparison cannot be opened, let alone closed.</w:t>
      </w:r>
    </w:p>
    <w:p>
      <w:r>
        <w:rPr>
          <w:b w:val="0"/>
          <w:i w:val="0"/>
        </w:rPr>
        <w:t>What the school did produce is its land submission to the Ministry of Education and Sports of 29 January 2026, signed by the head teacher and stamped, with the ministry's land template filled in behind it. That establishes the site and the dispute over it. It says nothing about a single desk, chair, computer or item of laboratory equipment.</w:t>
      </w:r>
    </w:p>
    <w:p>
      <w:pPr>
        <w:pStyle w:val="Heading1"/>
      </w:pPr>
      <w:r>
        <w:t>5. Engraving and identification</w:t>
      </w:r>
    </w:p>
    <w:p>
      <w:r>
        <w:rPr>
          <w:b w:val="0"/>
          <w:i w:val="0"/>
        </w:rPr>
        <w:t>Nothing was seen to engrave. No asset number, engraved number or serial number was recorded at this school, because no movable asset was recorded at all.</w:t>
      </w:r>
    </w:p>
    <w:p>
      <w:pPr>
        <w:pStyle w:val="Heading1"/>
      </w:pPr>
      <w:r>
        <w:t>6. Obsolete, unserviceable or for disposal</w:t>
      </w:r>
    </w:p>
    <w:p>
      <w:r>
        <w:rPr>
          <w:b w:val="0"/>
          <w:i w:val="0"/>
        </w:rPr>
        <w:t>Nothing was named as obsolete, unserviceable or for disposal. Three defects were recorded, all of them in the fabric: three socket boxes open with their wiring showing, a window pane out, and the concrete apron broken away where a pipe enters a block wall.</w:t>
      </w:r>
    </w:p>
    <w:p>
      <w:pPr>
        <w:pStyle w:val="Heading1"/>
      </w:pPr>
      <w:r>
        <w:t>7. Operation and maintenance</w:t>
      </w:r>
    </w:p>
    <w:p>
      <w:r>
        <w:rPr>
          <w:b w:val="0"/>
          <w:i w:val="0"/>
        </w:rPr>
        <w:t>The team reported that the school is already operating. Nothing further was reported about it.</w:t>
      </w:r>
    </w:p>
    <w:p>
      <w:r>
        <w:rPr>
          <w:b w:val="0"/>
          <w:i w:val="0"/>
        </w:rPr>
        <w:t>Whether the school holds a record of its UgIFT assets, how many it was supplied and when, how it maintains them, whether it records functionality and breakdown, and what the support has done for the service here were all left unanswered, so questions 1a, 1b, 2, 3 and 4 of the discussion guide are outstanding.</w:t>
      </w:r>
    </w:p>
    <w:p>
      <w:pPr>
        <w:pStyle w:val="Heading1"/>
      </w:pPr>
      <w:r>
        <w:t>8. Queries</w:t>
      </w:r>
    </w:p>
    <w:p>
      <w:pPr>
        <w:pStyle w:val="ListBullet"/>
      </w:pPr>
      <w:r>
        <w:rPr>
          <w:b w:val="0"/>
          <w:i w:val="0"/>
        </w:rPr>
        <w:t>The hand-filled toolkit names this school. Finish the blank cells on those pages and settle what should be engraved.</w:t>
      </w:r>
    </w:p>
    <w:p>
      <w:pPr>
        <w:pStyle w:val="ListBullet"/>
      </w:pPr>
      <w:r>
        <w:rPr>
          <w:b w:val="0"/>
          <w:i w:val="0"/>
        </w:rPr>
        <w:t>Go back and record the furniture, the ICT equipment and the laboratory equipment, none of which appears in this return at all.</w:t>
      </w:r>
    </w:p>
    <w:p>
      <w:pPr>
        <w:pStyle w:val="ListBullet"/>
      </w:pPr>
      <w:r>
        <w:rPr>
          <w:b w:val="0"/>
          <w:i w:val="0"/>
        </w:rPr>
        <w:t>Establish who owes the compensation for the school's land and by when, the owner never having been paid and now threatening litigation.</w:t>
      </w:r>
    </w:p>
    <w:p>
      <w:pPr>
        <w:pStyle w:val="ListBullet"/>
      </w:pPr>
      <w:r>
        <w:rPr>
          <w:b w:val="0"/>
          <w:i w:val="0"/>
        </w:rPr>
        <w:t>Obtain the school's land title, which it does not hold.</w:t>
      </w:r>
    </w:p>
    <w:p>
      <w:pPr>
        <w:pStyle w:val="ListBullet"/>
      </w:pPr>
      <w:r>
        <w:rPr>
          <w:b w:val="0"/>
          <w:i w:val="0"/>
        </w:rPr>
        <w:t>Make good the three open socket boxes and the missing window pane, and name the officer answerable for the work.</w:t>
      </w:r>
    </w:p>
    <w:p>
      <w:pPr>
        <w:pStyle w:val="ListBullet"/>
      </w:pPr>
      <w:r>
        <w:rPr>
          <w:b w:val="0"/>
          <w:i w:val="0"/>
        </w:rPr>
        <w:t>Obtain any delivery note or schedule for what UgIFT supplied to this school; none is on file at the school or at the district.</w:t>
      </w:r>
    </w:p>
    <w:p>
      <w:pPr>
        <w:pStyle w:val="ListBullet"/>
      </w:pPr>
      <w:r>
        <w:rPr>
          <w:b w:val="0"/>
          <w:i w:val="0"/>
        </w:rPr>
        <w:t>Hold the discussion guide with the head teacher, all five questions being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