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Kibuku District - review of the record of assets held at the local government</w:t>
      </w:r>
    </w:p>
    <w:p>
      <w:pPr>
        <w:pStyle w:val="Heading1"/>
      </w:pPr>
      <w:r>
        <w:t>1. What the district holds</w:t>
      </w:r>
    </w:p>
    <w:p>
      <w:r>
        <w:rPr>
          <w:b w:val="0"/>
          <w:i w:val="0"/>
        </w:rPr>
        <w:t xml:space="preserve">The district parted with </w:t>
      </w:r>
      <w:r>
        <w:rPr>
          <w:b/>
          <w:i w:val="0"/>
        </w:rPr>
        <w:t>two listings</w:t>
      </w:r>
      <w:r>
        <w:rPr>
          <w:b w:val="0"/>
          <w:i w:val="0"/>
        </w:rPr>
        <w:t xml:space="preserve"> on 24 August, both covering the whole of Kibuku. The first is the district's own asset listing, 6,269 lines across 19 schedules - land, buildings, transport, medical equipment, ICT, furniture and fittings, roads, and the natural assets. The second is its IFMS asset extract, 7,203 lines run for 2020-07-01 to 2026-06-30, carrying the cost, accumulated depreciation, net book value and year-to-date depreciation of every line. At district level a financial document stands as the record of assets, so these two together are the record against which facility holdings are checked.</w:t>
      </w:r>
    </w:p>
    <w:p>
      <w:r>
        <w:rPr>
          <w:b w:val="0"/>
          <w:i w:val="0"/>
        </w:rPr>
        <w:t>The IFMS extract is in the same columns the verification schedule asks for - asset number, item, description, life in months, tag number, date of purchase, date placed in service, cost, accumulated depreciation, net book value and year-to-date depreciation. Where a facility appears in it, those columns can be filled from it.</w:t>
      </w:r>
    </w:p>
    <w:p>
      <w:pPr>
        <w:pStyle w:val="Heading1"/>
      </w:pPr>
      <w:r>
        <w:t>2. What it covers, and what it does not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Facilities named</w:t>
            </w:r>
          </w:p>
        </w:tc>
        <w:tc>
          <w:tcPr>
            <w:tcW w:type="dxa" w:w="4320"/>
          </w:tcPr>
          <w:p>
            <w:r>
              <w:rPr>
                <w:b/>
              </w:rPr>
            </w:r>
            <w:r>
              <w:rPr>
                <w:b/>
                <w:i w:val="0"/>
              </w:rPr>
              <w:t>All six facilities on the district programme list appear, and every one of them can be found by name</w:t>
            </w:r>
          </w:p>
        </w:tc>
      </w:tr>
      <w:tr>
        <w:tc>
          <w:tcPr>
            <w:tcW w:type="dxa" w:w="4320"/>
          </w:tcPr>
          <w:p>
            <w:r/>
            <w:r>
              <w:rPr>
                <w:b w:val="0"/>
                <w:i w:val="0"/>
              </w:rPr>
              <w:t>Where a facility is named on the asset listing</w:t>
            </w:r>
          </w:p>
        </w:tc>
        <w:tc>
          <w:tcPr>
            <w:tcW w:type="dxa" w:w="4320"/>
          </w:tcPr>
          <w:p>
            <w:r/>
            <w:r>
              <w:rPr>
                <w:b w:val="0"/>
                <w:i w:val="0"/>
              </w:rPr>
              <w:t>Inside the tag number, in the form 605 / facility / item / number. All but 6 of its 4,440 furniture lines are shaped that way</w:t>
            </w:r>
          </w:p>
        </w:tc>
      </w:tr>
      <w:tr>
        <w:tc>
          <w:tcPr>
            <w:tcW w:type="dxa" w:w="4320"/>
          </w:tcPr>
          <w:p>
            <w:r/>
            <w:r>
              <w:rPr>
                <w:b w:val="0"/>
                <w:i w:val="0"/>
              </w:rPr>
              <w:t>Where a facility is named on the IFMS extract</w:t>
            </w:r>
          </w:p>
        </w:tc>
        <w:tc>
          <w:tcPr>
            <w:tcW w:type="dxa" w:w="4320"/>
          </w:tcPr>
          <w:p>
            <w:r/>
            <w:r>
              <w:rPr>
                <w:b w:val="0"/>
                <w:i w:val="0"/>
              </w:rPr>
              <w:t>Land and buildings only. Its 5,895 equipment lines carry a department and a purchase description and no facility at all</w:t>
            </w:r>
          </w:p>
        </w:tc>
      </w:tr>
      <w:tr>
        <w:tc>
          <w:tcPr>
            <w:tcW w:type="dxa" w:w="4320"/>
          </w:tcPr>
          <w:p>
            <w:r/>
            <w:r>
              <w:rPr>
                <w:b w:val="0"/>
                <w:i w:val="0"/>
              </w:rPr>
              <w:t>Lines marked as UgIFT assets</w:t>
            </w:r>
          </w:p>
        </w:tc>
        <w:tc>
          <w:tcPr>
            <w:tcW w:type="dxa" w:w="4320"/>
          </w:tcPr>
          <w:p>
            <w:r/>
            <w:r>
              <w:rPr>
                <w:b/>
                <w:i w:val="0"/>
              </w:rPr>
              <w:t>None.</w:t>
            </w:r>
            <w:r>
              <w:rPr>
                <w:b w:val="0"/>
                <w:i w:val="0"/>
              </w:rPr>
              <w:t xml:space="preserve"> Not one line on either listing carries any UgIFT marking</w:t>
            </w:r>
          </w:p>
        </w:tc>
      </w:tr>
    </w:tbl>
    <w:p/>
    <w:p>
      <w:r>
        <w:rPr>
          <w:b w:val="0"/>
          <w:i w:val="0"/>
        </w:rPr>
        <w:t>Four things follow, and they are the substance of this review.</w:t>
      </w:r>
    </w:p>
    <w:p>
      <w:pPr>
        <w:pStyle w:val="ListBullet"/>
      </w:pPr>
      <w:r>
        <w:rPr>
          <w:b/>
          <w:i w:val="0"/>
        </w:rPr>
        <w:t>The two listings disagree about whether a movable asset has a home.</w:t>
      </w:r>
      <w:r>
        <w:rPr>
          <w:b w:val="0"/>
          <w:i w:val="0"/>
        </w:rPr>
        <w:t xml:space="preserve"> The district's own listing puts the facility inside the tag number of nearly every stool, bed and desk it carries. The IFMS extract, which is the one holding the costs and the depreciation the verification schedule asks for, drops the facility for everything except land and buildings. So the figures and the locations sit in different documents and cannot be joined.</w:t>
      </w:r>
    </w:p>
    <w:p>
      <w:pPr>
        <w:pStyle w:val="ListBullet"/>
      </w:pPr>
      <w:r>
        <w:rPr>
          <w:b/>
          <w:i w:val="0"/>
        </w:rPr>
        <w:t>No asset in Kibuku can be identified as a UgIFT asset from this record.</w:t>
      </w:r>
      <w:r>
        <w:rPr>
          <w:b w:val="0"/>
          <w:i w:val="0"/>
        </w:rPr>
        <w:t xml:space="preserve"> The exercise asks what UgIFT supplied and what became of it, and neither listing answers that question about any line it carries.</w:t>
      </w:r>
    </w:p>
    <w:p>
      <w:pPr>
        <w:pStyle w:val="ListBullet"/>
      </w:pPr>
      <w:r>
        <w:rPr>
          <w:b/>
          <w:i w:val="0"/>
        </w:rPr>
        <w:t>The district's own numbering is sometimes the manufacturer's.</w:t>
      </w:r>
      <w:r>
        <w:rPr>
          <w:b w:val="0"/>
          <w:i w:val="0"/>
        </w:rPr>
        <w:t xml:space="preserve"> Where the listing gives a tag number for an item of ICT equipment it is often the serial number of the machine, entered again in the tag column. An asset number the district issued does not exist for those lines.</w:t>
      </w:r>
    </w:p>
    <w:p>
      <w:pPr>
        <w:pStyle w:val="ListBullet"/>
      </w:pPr>
      <w:r>
        <w:rPr>
          <w:b/>
          <w:i w:val="0"/>
        </w:rPr>
        <w:t>Almost every movable line predates the programme's deliveries.</w:t>
      </w:r>
      <w:r>
        <w:rPr>
          <w:b w:val="0"/>
          <w:i w:val="0"/>
        </w:rPr>
        <w:t xml:space="preserve"> Of the movable lines the listing carries against the six facilities, all but four are dated 2010 or 2020; the four are three computers and a printer at Kasasira Seed Secondary School, dated 2023. Nothing else the exercise found on the ground - the diagnostic sets, the autoclaves, the microscopes, the engraved school furniture - has been taken on charge at all.</w:t>
      </w:r>
    </w:p>
    <w:p>
      <w:pPr>
        <w:pStyle w:val="Heading1"/>
      </w:pPr>
      <w:r>
        <w:t>3. The six facilities in it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What the district's books carry</w:t>
            </w:r>
          </w:p>
        </w:tc>
      </w:tr>
      <w:tr>
        <w:tc>
          <w:tcPr>
            <w:tcW w:type="dxa" w:w="4320"/>
          </w:tcPr>
          <w:p>
            <w:r/>
            <w:r>
              <w:rPr>
                <w:b w:val="0"/>
                <w:i w:val="0"/>
              </w:rPr>
              <w:t>Kasasira Seed Secondary School</w:t>
            </w:r>
          </w:p>
        </w:tc>
        <w:tc>
          <w:tcPr>
            <w:tcW w:type="dxa" w:w="4320"/>
          </w:tcPr>
          <w:p>
            <w:r/>
            <w:r>
              <w:rPr>
                <w:b w:val="0"/>
                <w:i w:val="0"/>
              </w:rPr>
              <w:t>Land, one building, three desktop computers and a printer, and the building twice at the same cost under two tag numbers</w:t>
            </w:r>
          </w:p>
        </w:tc>
      </w:tr>
      <w:tr>
        <w:tc>
          <w:tcPr>
            <w:tcW w:type="dxa" w:w="4320"/>
          </w:tcPr>
          <w:p>
            <w:r/>
            <w:r>
              <w:rPr>
                <w:b w:val="0"/>
                <w:i w:val="0"/>
              </w:rPr>
              <w:t>St John's Seed Secondary School Kirika</w:t>
            </w:r>
          </w:p>
        </w:tc>
        <w:tc>
          <w:tcPr>
            <w:tcW w:type="dxa" w:w="4320"/>
          </w:tcPr>
          <w:p>
            <w:r/>
            <w:r>
              <w:rPr>
                <w:b w:val="0"/>
                <w:i w:val="0"/>
              </w:rPr>
              <w:t>Two classroom entries, in two different sub-counties, and nothing movable at all</w:t>
            </w:r>
          </w:p>
        </w:tc>
      </w:tr>
      <w:tr>
        <w:tc>
          <w:tcPr>
            <w:tcW w:type="dxa" w:w="4320"/>
          </w:tcPr>
          <w:p>
            <w:r/>
            <w:r>
              <w:rPr>
                <w:b w:val="0"/>
                <w:i w:val="0"/>
              </w:rPr>
              <w:t>Kabweri Seed Secondary School</w:t>
            </w:r>
          </w:p>
        </w:tc>
        <w:tc>
          <w:tcPr>
            <w:tcW w:type="dxa" w:w="4320"/>
          </w:tcPr>
          <w:p>
            <w:r/>
            <w:r>
              <w:rPr>
                <w:b w:val="0"/>
                <w:i w:val="0"/>
              </w:rPr>
              <w:t>Land, eight building lines, one desktop computer, one printer and a wooden patient bed</w:t>
            </w:r>
          </w:p>
        </w:tc>
      </w:tr>
      <w:tr>
        <w:tc>
          <w:tcPr>
            <w:tcW w:type="dxa" w:w="4320"/>
          </w:tcPr>
          <w:p>
            <w:r/>
            <w:r>
              <w:rPr>
                <w:b w:val="0"/>
                <w:i w:val="0"/>
              </w:rPr>
              <w:t>Kabweri HC III</w:t>
            </w:r>
          </w:p>
        </w:tc>
        <w:tc>
          <w:tcPr>
            <w:tcW w:type="dxa" w:w="4320"/>
          </w:tcPr>
          <w:p>
            <w:r/>
            <w:r>
              <w:rPr>
                <w:b w:val="0"/>
                <w:i w:val="0"/>
              </w:rPr>
              <w:t>Land, five building lines and seventy-six movable lines, the fullest holding in the district</w:t>
            </w:r>
          </w:p>
        </w:tc>
      </w:tr>
      <w:tr>
        <w:tc>
          <w:tcPr>
            <w:tcW w:type="dxa" w:w="4320"/>
          </w:tcPr>
          <w:p>
            <w:r/>
            <w:r>
              <w:rPr>
                <w:b w:val="0"/>
                <w:i w:val="0"/>
              </w:rPr>
              <w:t>Lwatama HC III</w:t>
            </w:r>
          </w:p>
        </w:tc>
        <w:tc>
          <w:tcPr>
            <w:tcW w:type="dxa" w:w="4320"/>
          </w:tcPr>
          <w:p>
            <w:r/>
            <w:r>
              <w:rPr>
                <w:b w:val="0"/>
                <w:i w:val="0"/>
              </w:rPr>
              <w:t>Land and one building under the name Lwatama HC II, three more buildings under Lwatama HC III, and thirty-two movable lines</w:t>
            </w:r>
          </w:p>
        </w:tc>
      </w:tr>
      <w:tr>
        <w:tc>
          <w:tcPr>
            <w:tcW w:type="dxa" w:w="4320"/>
          </w:tcPr>
          <w:p>
            <w:r/>
            <w:r>
              <w:rPr>
                <w:b w:val="0"/>
                <w:i w:val="0"/>
              </w:rPr>
              <w:t>Nalubembe HC III</w:t>
            </w:r>
          </w:p>
        </w:tc>
        <w:tc>
          <w:tcPr>
            <w:tcW w:type="dxa" w:w="4320"/>
          </w:tcPr>
          <w:p>
            <w:r/>
            <w:r>
              <w:rPr>
                <w:b w:val="0"/>
                <w:i w:val="0"/>
              </w:rPr>
              <w:t>Land, seven building lines, thirty-eight movable lines and a television</w:t>
            </w:r>
          </w:p>
        </w:tc>
      </w:tr>
    </w:tbl>
    <w:p/>
    <w:p>
      <w:r>
        <w:rPr>
          <w:b w:val="0"/>
          <w:i w:val="0"/>
        </w:rPr>
        <w:t>Neither seed school carries a single furniture line: the tag numbers beginning with Kasasira and Kabweri belong to the primary schools of those names. Lwatama is carried at two levels at once, and the IFMS extract explains why - it holds a payment of withholding tax for upgrading Lwatama HC II to HC III, so the district has paid for the upgrade and never closed the old name. Three of the buildings at Lwatama HC III and one at Nalubembe HC III are charged to the education department though both are health facilities.</w:t>
      </w:r>
    </w:p>
    <w:p>
      <w:pPr>
        <w:pStyle w:val="Heading1"/>
      </w:pPr>
      <w:r>
        <w:t>4. What it can and cannot establish</w:t>
      </w:r>
    </w:p>
    <w:p>
      <w:r>
        <w:rPr>
          <w:b w:val="0"/>
          <w:i w:val="0"/>
        </w:rPr>
        <w:t xml:space="preserve">It records what the district </w:t>
      </w:r>
      <w:r>
        <w:rPr>
          <w:b/>
          <w:i w:val="0"/>
        </w:rPr>
        <w:t>holds in its books</w:t>
      </w:r>
      <w:r>
        <w:rPr>
          <w:b w:val="0"/>
          <w:i w:val="0"/>
        </w:rPr>
        <w:t>, and for land and buildings it does that in full. It cannot say what stands at a facility today, and it verifies no facility: a facility is verified only by its own asset register, filled in on site. For the movable assets this exercise is mostly about, it cannot even say which facility they belong to, so a difference between it and a ground count is not yet a finding - it is a question about the record itself.</w:t>
      </w:r>
    </w:p>
    <w:p>
      <w:pPr>
        <w:pStyle w:val="Heading1"/>
      </w:pPr>
      <w:r>
        <w:t>5. Queries</w:t>
      </w:r>
    </w:p>
    <w:p>
      <w:pPr>
        <w:pStyle w:val="ListBullet"/>
      </w:pPr>
      <w:r>
        <w:rPr>
          <w:b w:val="0"/>
          <w:i w:val="0"/>
        </w:rPr>
        <w:t>Agree with the district how a UgIFT asset is to be told apart from any other in its books, no line on either listing carrying such a mark.</w:t>
      </w:r>
    </w:p>
    <w:p>
      <w:pPr>
        <w:pStyle w:val="ListBullet"/>
      </w:pPr>
      <w:r>
        <w:rPr>
          <w:b w:val="0"/>
          <w:i w:val="0"/>
        </w:rPr>
        <w:t>Reconcile the two listings, the asset listing naming a facility inside nearly every tag number and the IFMS extract naming none outside land and buildings.</w:t>
      </w:r>
    </w:p>
    <w:p>
      <w:pPr>
        <w:pStyle w:val="ListBullet"/>
      </w:pPr>
      <w:r>
        <w:rPr>
          <w:b w:val="0"/>
          <w:i w:val="0"/>
        </w:rPr>
        <w:t>Take the UgIFT movables on charge: all but four of the movable lines against the six facilities predate the programme's deliveries.</w:t>
      </w:r>
    </w:p>
    <w:p>
      <w:pPr>
        <w:pStyle w:val="ListBullet"/>
      </w:pPr>
      <w:r>
        <w:rPr>
          <w:b w:val="0"/>
          <w:i w:val="0"/>
        </w:rPr>
        <w:t>Confirm whether Kasasira Seed Secondary School's building is one asset or two, it appearing twice at the same cost under two tag numbers.</w:t>
      </w:r>
    </w:p>
    <w:p>
      <w:pPr>
        <w:pStyle w:val="ListBullet"/>
      </w:pPr>
      <w:r>
        <w:rPr>
          <w:b w:val="0"/>
          <w:i w:val="0"/>
        </w:rPr>
        <w:t>Close the name Lwatama HC II now that the upgrade to HC III has been paid for, so one facility stops appearing as two.</w:t>
      </w:r>
    </w:p>
    <w:p>
      <w:pPr>
        <w:pStyle w:val="ListBullet"/>
      </w:pPr>
      <w:r>
        <w:rPr>
          <w:b w:val="0"/>
          <w:i w:val="0"/>
        </w:rPr>
        <w:t>Move the Lwatama and Nalubembe building lines out of the education department, both being health facilities.</w:t>
      </w:r>
    </w:p>
    <w:p>
      <w:pPr>
        <w:pStyle w:val="ListBullet"/>
      </w:pPr>
      <w:r>
        <w:rPr>
          <w:b w:val="0"/>
          <w:i w:val="0"/>
        </w:rPr>
        <w:t>Establish whether the district issues asset numbers of its own, the tag column often repeating the manufacturer's serial number.</w:t>
      </w:r>
    </w:p>
    <w:p>
      <w:pPr>
        <w:pStyle w:val="ListBullet"/>
      </w:pPr>
      <w:r>
        <w:rPr>
          <w:b w:val="0"/>
          <w:i w:val="0"/>
        </w:rPr>
        <w:t>Establish what record the district holds for the furniture and equipment supplied to the two seed schools, neither appearing in either listing.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