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Mbale District - review of the record of assets held at the local government</w:t>
      </w:r>
    </w:p>
    <w:p>
      <w:r>
        <w:rPr>
          <w:b w:val="0"/>
          <w:i w:val="0"/>
        </w:rPr>
        <w:t>Mbale produced no record of assets. The one district paper on file is a Ministry of Finance circular under Mbale District Local Government's received stamp of 31 August 2026, the demand for a register and not the register itself.</w:t>
      </w:r>
    </w:p>
    <w:p>
      <w:r>
        <w:rPr>
          <w:b w:val="0"/>
          <w:i w:val="0"/>
        </w:rPr>
        <w:t>The filled toolkit pages for the two schools sit beside this review and are not a district record.</w:t>
      </w:r>
    </w:p>
    <w:p>
      <w:pPr>
        <w:pStyle w:val="Heading1"/>
      </w:pPr>
      <w:r>
        <w:t>Finding</w:t>
      </w:r>
    </w:p>
    <w:p>
      <w:r>
        <w:rPr>
          <w:b w:val="0"/>
          <w:i w:val="0"/>
        </w:rPr>
        <w:t>There is nothing at district level against which either school's holding can be checked.</w:t>
      </w:r>
    </w:p>
    <w:p>
      <w:pPr>
        <w:pStyle w:val="Heading1"/>
      </w:pPr>
      <w:r>
        <w:t>Queries</w:t>
      </w:r>
    </w:p>
    <w:p>
      <w:pPr>
        <w:pStyle w:val="ListBullet"/>
      </w:pPr>
      <w:r>
        <w:rPr>
          <w:b w:val="0"/>
          <w:i w:val="0"/>
        </w:rPr>
        <w:t>Obtain Mbale's own record of programme assets, including the register dated 2026-07-31 that was recorded as obtained, or a written statement that the district holds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