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200"/>
      </w:pPr>
      <w:r>
        <w:rPr>
          <w:rFonts w:ascii="Arial" w:hAnsi="Arial"/>
          <w:b/>
          <w:color w:val="17365D"/>
          <w:sz w:val="20"/>
        </w:rPr>
        <w:t>PROCESS REPORT</w:t>
      </w:r>
    </w:p>
    <w:p>
      <w:pPr>
        <w:pStyle w:val="Title"/>
      </w:pPr>
      <w:r>
        <w:rPr>
          <w:rFonts w:ascii="Arial" w:hAnsi="Arial"/>
        </w:rPr>
        <w:t>UGiFT Asset Verification and Register Review Process Report</w:t>
      </w:r>
    </w:p>
    <w:p>
      <w:pPr>
        <w:spacing w:after="440"/>
      </w:pPr>
      <w:r>
        <w:rPr>
          <w:rFonts w:ascii="Arial" w:hAnsi="Arial"/>
          <w:color w:val="595959"/>
          <w:sz w:val="26"/>
        </w:rPr>
        <w:t>Facility reconciliation, asset use, identification, custody, data quality and cost treatment</w:t>
      </w:r>
    </w:p>
    <w:p>
      <w:r>
        <w:rPr>
          <w:rFonts w:ascii="Arial" w:hAnsi="Arial"/>
        </w:rPr>
        <w:t>Reporting date 23 September 2026</w:t>
      </w:r>
    </w:p>
    <w:p>
      <w:r>
        <w:rPr>
          <w:rFonts w:ascii="Arial" w:hAnsi="Arial"/>
        </w:rPr>
        <w:t>Prepared for programme review and follow up</w:t>
      </w:r>
    </w:p>
    <w:p>
      <w:pPr>
        <w:spacing w:before="1840" w:after="0"/>
      </w:pPr>
      <w:r>
        <w:rPr>
          <w:rFonts w:ascii="Arial" w:hAnsi="Arial"/>
          <w:color w:val="404040"/>
          <w:sz w:val="21"/>
        </w:rPr>
        <w:t>This report brings together the facility master list, field returns, consolidated registers and the prepared UGiFT asset register. It distinguishes confirmed records from matters that still require a field or local government decision.</w:t>
      </w:r>
    </w:p>
    <w:p>
      <w:pPr>
        <w:sectPr>
          <w:pgSz w:w="12240" w:h="15840"/>
          <w:pgMar w:top="1037" w:right="1080" w:bottom="936" w:left="1080" w:header="432" w:footer="432" w:gutter="0"/>
          <w:cols w:space="720"/>
          <w:docGrid w:linePitch="360"/>
        </w:sectPr>
      </w:pPr>
    </w:p>
    <w:p>
      <w:pPr>
        <w:pStyle w:val="Heading1"/>
        <w:keepNext/>
      </w:pPr>
      <w:r>
        <w:rPr>
          <w:rFonts w:ascii="Arial" w:hAnsi="Arial"/>
        </w:rPr>
        <w:t>Executive summary</w:t>
      </w:r>
    </w:p>
    <w:p>
      <w:r>
        <w:rPr>
          <w:rFonts w:ascii="Arial" w:hAnsi="Arial"/>
        </w:rPr>
        <w:t>The review has produced a usable reconciliation and a traceable working asset register, but it is not yet a complete accounting or maintenance register. Facility identity and asset descriptions are generally strong. Cost, service dates, ownership markings, tags, serial numbers and current-use information remain incomplete. The immediate priority is to close the facility exceptions, confirm custody where assets moved, and inspect the assets that are unused, unmarked, missing or reported damaged.</w:t>
      </w:r>
    </w:p>
    <w:tbl>
      <w:tblPr>
        <w:tblW w:type="auto" w:w="0"/>
        <w:jc w:val="center"/>
        <w:tblLayout w:type="fixed"/>
        <w:tblLook w:firstColumn="1" w:firstRow="1" w:lastColumn="0" w:lastRow="0" w:noHBand="0" w:noVBand="1" w:val="04A0"/>
        <w:tblBorders>
          <w:top w:val="single" w:sz="5" w:space="0" w:color="B7C6D5"/>
          <w:left w:val="single" w:sz="5" w:space="0" w:color="B7C6D5"/>
          <w:bottom w:val="single" w:sz="5" w:space="0" w:color="B7C6D5"/>
          <w:right w:val="single" w:sz="5" w:space="0" w:color="B7C6D5"/>
          <w:insideH w:val="single" w:sz="5" w:space="0" w:color="B7C6D5"/>
          <w:insideV w:val="single" w:sz="5" w:space="0" w:color="B7C6D5"/>
        </w:tblBorders>
      </w:tblPr>
      <w:tblGrid>
        <w:gridCol w:w="2520"/>
        <w:gridCol w:w="2520"/>
        <w:gridCol w:w="2520"/>
        <w:gridCol w:w="2520"/>
      </w:tblGrid>
      <w:tr>
        <w:trPr>
          <w:tblHeader w:val="true"/>
          <w:cantSplit/>
        </w:trPr>
        <w:tc>
          <w:tcPr>
            <w:tcW w:type="dxa" w:w="2520"/>
            <w:shd w:fill="EDF3F8"/>
            <w:tcMar>
              <w:top w:w="130" w:type="dxa"/>
              <w:start w:w="120" w:type="dxa"/>
              <w:bottom w:w="130" w:type="dxa"/>
              <w:end w:w="120" w:type="dxa"/>
            </w:tcMar>
          </w:tcPr>
          <w:p>
            <w:pPr>
              <w:spacing w:after="40"/>
              <w:jc w:val="center"/>
            </w:pPr>
            <w:r>
              <w:rPr>
                <w:rFonts w:ascii="Arial" w:hAnsi="Arial"/>
                <w:b/>
                <w:color w:val="17365D"/>
                <w:sz w:val="36"/>
              </w:rPr>
              <w:t>629</w:t>
            </w:r>
          </w:p>
          <w:p>
            <w:pPr>
              <w:spacing w:after="40"/>
              <w:jc w:val="center"/>
            </w:pPr>
            <w:r>
              <w:rPr>
                <w:rFonts w:ascii="Arial" w:hAnsi="Arial"/>
                <w:b/>
                <w:sz w:val="17"/>
              </w:rPr>
              <w:t>Distinct master facilities</w:t>
            </w:r>
          </w:p>
          <w:p>
            <w:pPr>
              <w:spacing w:after="0"/>
              <w:jc w:val="center"/>
            </w:pPr>
            <w:r>
              <w:rPr>
                <w:rFonts w:ascii="Arial" w:hAnsi="Arial"/>
                <w:color w:val="666666"/>
                <w:sz w:val="15"/>
              </w:rPr>
              <w:t>581 have a return or explained status</w:t>
            </w:r>
          </w:p>
        </w:tc>
        <w:tc>
          <w:tcPr>
            <w:tcW w:type="dxa" w:w="2520"/>
            <w:shd w:fill="F5F6F7"/>
            <w:tcMar>
              <w:top w:w="130" w:type="dxa"/>
              <w:start w:w="120" w:type="dxa"/>
              <w:bottom w:w="130" w:type="dxa"/>
              <w:end w:w="120" w:type="dxa"/>
            </w:tcMar>
          </w:tcPr>
          <w:p>
            <w:pPr>
              <w:spacing w:after="40"/>
              <w:jc w:val="center"/>
            </w:pPr>
            <w:r>
              <w:rPr>
                <w:rFonts w:ascii="Arial" w:hAnsi="Arial"/>
                <w:b/>
                <w:color w:val="17365D"/>
                <w:sz w:val="36"/>
              </w:rPr>
              <w:t>163,498</w:t>
            </w:r>
          </w:p>
          <w:p>
            <w:pPr>
              <w:spacing w:after="40"/>
              <w:jc w:val="center"/>
            </w:pPr>
            <w:r>
              <w:rPr>
                <w:rFonts w:ascii="Arial" w:hAnsi="Arial"/>
                <w:b/>
                <w:sz w:val="17"/>
              </w:rPr>
              <w:t>Asset records</w:t>
            </w:r>
          </w:p>
          <w:p>
            <w:pPr>
              <w:spacing w:after="0"/>
              <w:jc w:val="center"/>
            </w:pPr>
            <w:r>
              <w:rPr>
                <w:rFonts w:ascii="Arial" w:hAnsi="Arial"/>
                <w:color w:val="666666"/>
                <w:sz w:val="15"/>
              </w:rPr>
              <w:t>Across 522 standardized facility names</w:t>
            </w:r>
          </w:p>
        </w:tc>
        <w:tc>
          <w:tcPr>
            <w:tcW w:type="dxa" w:w="2520"/>
            <w:shd w:fill="EDF3F8"/>
            <w:tcMar>
              <w:top w:w="130" w:type="dxa"/>
              <w:start w:w="120" w:type="dxa"/>
              <w:bottom w:w="130" w:type="dxa"/>
              <w:end w:w="120" w:type="dxa"/>
            </w:tcMar>
          </w:tcPr>
          <w:p>
            <w:pPr>
              <w:spacing w:after="40"/>
              <w:jc w:val="center"/>
            </w:pPr>
            <w:r>
              <w:rPr>
                <w:rFonts w:ascii="Arial" w:hAnsi="Arial"/>
                <w:b/>
                <w:color w:val="17365D"/>
                <w:sz w:val="36"/>
              </w:rPr>
              <w:t>48</w:t>
            </w:r>
          </w:p>
          <w:p>
            <w:pPr>
              <w:spacing w:after="40"/>
              <w:jc w:val="center"/>
            </w:pPr>
            <w:r>
              <w:rPr>
                <w:rFonts w:ascii="Arial" w:hAnsi="Arial"/>
                <w:b/>
                <w:sz w:val="17"/>
              </w:rPr>
              <w:t>No return</w:t>
            </w:r>
          </w:p>
          <w:p>
            <w:pPr>
              <w:spacing w:after="0"/>
              <w:jc w:val="center"/>
            </w:pPr>
            <w:r>
              <w:rPr>
                <w:rFonts w:ascii="Arial" w:hAnsi="Arial"/>
                <w:color w:val="666666"/>
                <w:sz w:val="15"/>
              </w:rPr>
              <w:t>7.6% of the master list</w:t>
            </w:r>
          </w:p>
        </w:tc>
        <w:tc>
          <w:tcPr>
            <w:tcW w:type="dxa" w:w="2520"/>
            <w:shd w:fill="F5F6F7"/>
            <w:tcMar>
              <w:top w:w="130" w:type="dxa"/>
              <w:start w:w="120" w:type="dxa"/>
              <w:bottom w:w="130" w:type="dxa"/>
              <w:end w:w="120" w:type="dxa"/>
            </w:tcMar>
          </w:tcPr>
          <w:p>
            <w:pPr>
              <w:spacing w:after="40"/>
              <w:jc w:val="center"/>
            </w:pPr>
            <w:r>
              <w:rPr>
                <w:rFonts w:ascii="Arial" w:hAnsi="Arial"/>
                <w:b/>
                <w:color w:val="17365D"/>
                <w:sz w:val="36"/>
              </w:rPr>
              <w:t>6,926</w:t>
            </w:r>
          </w:p>
          <w:p>
            <w:pPr>
              <w:spacing w:after="40"/>
              <w:jc w:val="center"/>
            </w:pPr>
            <w:r>
              <w:rPr>
                <w:rFonts w:ascii="Arial" w:hAnsi="Arial"/>
                <w:b/>
                <w:sz w:val="17"/>
              </w:rPr>
              <w:t>Records with cost</w:t>
            </w:r>
          </w:p>
          <w:p>
            <w:pPr>
              <w:spacing w:after="0"/>
              <w:jc w:val="center"/>
            </w:pPr>
            <w:r>
              <w:rPr>
                <w:rFonts w:ascii="Arial" w:hAnsi="Arial"/>
                <w:color w:val="666666"/>
                <w:sz w:val="15"/>
              </w:rPr>
              <w:t>4.2% of asset records</w:t>
            </w:r>
          </w:p>
        </w:tc>
      </w:tr>
    </w:tbl>
    <w:p>
      <w:pPr>
        <w:spacing w:after="20"/>
      </w:pPr>
    </w:p>
    <w:p>
      <w:pPr>
        <w:pStyle w:val="Heading2"/>
        <w:keepNext/>
      </w:pPr>
      <w:r>
        <w:rPr>
          <w:rFonts w:ascii="Arial" w:hAnsi="Arial"/>
        </w:rPr>
        <w:t>What the review found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376"/>
            <w:shd w:fill="17365D"/>
            <w:tcMar>
              <w:top w:w="105" w:type="dxa"/>
              <w:start w:w="95" w:type="dxa"/>
              <w:bottom w:w="105" w:type="dxa"/>
              <w:end w:w="95" w:type="dxa"/>
            </w:tcMar>
            <w:vAlign w:val="center"/>
          </w:tcPr>
          <w:p>
            <w:pPr>
              <w:spacing w:after="0"/>
              <w:jc w:val="left"/>
            </w:pPr>
            <w:r>
              <w:rPr>
                <w:rFonts w:ascii="Arial" w:hAnsi="Arial"/>
                <w:b/>
                <w:color w:val="FFFFFF"/>
                <w:sz w:val="17"/>
              </w:rPr>
              <w:t>Area</w:t>
            </w:r>
          </w:p>
        </w:tc>
        <w:tc>
          <w:tcPr>
            <w:tcW w:type="dxa" w:w="7703"/>
            <w:shd w:fill="17365D"/>
            <w:tcMar>
              <w:top w:w="105" w:type="dxa"/>
              <w:start w:w="95" w:type="dxa"/>
              <w:bottom w:w="105" w:type="dxa"/>
              <w:end w:w="95" w:type="dxa"/>
            </w:tcMar>
            <w:vAlign w:val="center"/>
          </w:tcPr>
          <w:p>
            <w:pPr>
              <w:spacing w:after="0"/>
              <w:jc w:val="left"/>
            </w:pPr>
            <w:r>
              <w:rPr>
                <w:rFonts w:ascii="Arial" w:hAnsi="Arial"/>
                <w:b/>
                <w:color w:val="FFFFFF"/>
                <w:sz w:val="17"/>
              </w:rPr>
              <w:t>Finding</w:t>
            </w:r>
          </w:p>
        </w:tc>
      </w:tr>
      <w:tr>
        <w:trPr>
          <w:cantSplit/>
        </w:trPr>
        <w:tc>
          <w:tcPr>
            <w:tcW w:type="dxa" w:w="2376"/>
            <w:tcMar>
              <w:top w:w="85" w:type="dxa"/>
              <w:start w:w="95" w:type="dxa"/>
              <w:bottom w:w="85" w:type="dxa"/>
              <w:end w:w="95" w:type="dxa"/>
            </w:tcMar>
            <w:vAlign w:val="center"/>
          </w:tcPr>
          <w:p>
            <w:pPr>
              <w:spacing w:after="0" w:line="252" w:lineRule="auto"/>
              <w:jc w:val="left"/>
            </w:pPr>
            <w:r>
              <w:rPr>
                <w:rFonts w:ascii="Arial" w:hAnsi="Arial"/>
                <w:color w:val="000000"/>
                <w:sz w:val="17"/>
              </w:rPr>
              <w:t>Facility reconciliation</w:t>
            </w:r>
          </w:p>
        </w:tc>
        <w:tc>
          <w:tcPr>
            <w:tcW w:type="dxa" w:w="7703"/>
            <w:tcMar>
              <w:top w:w="85" w:type="dxa"/>
              <w:start w:w="95" w:type="dxa"/>
              <w:bottom w:w="85" w:type="dxa"/>
              <w:end w:w="95" w:type="dxa"/>
            </w:tcMar>
            <w:vAlign w:val="center"/>
          </w:tcPr>
          <w:p>
            <w:pPr>
              <w:spacing w:after="0" w:line="252" w:lineRule="auto"/>
              <w:jc w:val="left"/>
            </w:pPr>
            <w:r>
              <w:rPr>
                <w:rFonts w:ascii="Arial" w:hAnsi="Arial"/>
                <w:color w:val="000000"/>
                <w:sz w:val="17"/>
              </w:rPr>
              <w:t>581 of 629 listed facilities are covered. 8 are reported absent, 48 have no return and 46 still need a decision.</w:t>
            </w:r>
          </w:p>
        </w:tc>
      </w:tr>
      <w:tr>
        <w:trPr>
          <w:cantSplit/>
        </w:trPr>
        <w:tc>
          <w:tcPr>
            <w:tcW w:type="dxa" w:w="237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Ground returns</w:t>
            </w:r>
          </w:p>
        </w:tc>
        <w:tc>
          <w:tcPr>
            <w:tcW w:type="dxa" w:w="7703"/>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37 submitted facility identities do not yet have a confirmed master-list match. They are leads for follow-up, not confirmed additional facilities.</w:t>
            </w:r>
          </w:p>
        </w:tc>
      </w:tr>
      <w:tr>
        <w:trPr>
          <w:cantSplit/>
        </w:trPr>
        <w:tc>
          <w:tcPr>
            <w:tcW w:type="dxa" w:w="2376"/>
            <w:tcMar>
              <w:top w:w="85" w:type="dxa"/>
              <w:start w:w="95" w:type="dxa"/>
              <w:bottom w:w="85" w:type="dxa"/>
              <w:end w:w="95" w:type="dxa"/>
            </w:tcMar>
            <w:vAlign w:val="center"/>
          </w:tcPr>
          <w:p>
            <w:pPr>
              <w:spacing w:after="0" w:line="252" w:lineRule="auto"/>
              <w:jc w:val="left"/>
            </w:pPr>
            <w:r>
              <w:rPr>
                <w:rFonts w:ascii="Arial" w:hAnsi="Arial"/>
                <w:color w:val="000000"/>
                <w:sz w:val="17"/>
              </w:rPr>
              <w:t>Asset use</w:t>
            </w:r>
          </w:p>
        </w:tc>
        <w:tc>
          <w:tcPr>
            <w:tcW w:type="dxa" w:w="7703"/>
            <w:tcMar>
              <w:top w:w="85" w:type="dxa"/>
              <w:start w:w="95" w:type="dxa"/>
              <w:bottom w:w="85" w:type="dxa"/>
              <w:end w:w="95" w:type="dxa"/>
            </w:tcMar>
            <w:vAlign w:val="center"/>
          </w:tcPr>
          <w:p>
            <w:pPr>
              <w:spacing w:after="0" w:line="252" w:lineRule="auto"/>
              <w:jc w:val="left"/>
            </w:pPr>
            <w:r>
              <w:rPr>
                <w:rFonts w:ascii="Arial" w:hAnsi="Arial"/>
                <w:color w:val="000000"/>
                <w:sz w:val="17"/>
              </w:rPr>
              <w:t>55,347 records are marked in use, 7,221 are marked not in use and 100,930 have no use flag.</w:t>
            </w:r>
          </w:p>
        </w:tc>
      </w:tr>
      <w:tr>
        <w:trPr>
          <w:cantSplit/>
        </w:trPr>
        <w:tc>
          <w:tcPr>
            <w:tcW w:type="dxa" w:w="237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Engraving and identification</w:t>
            </w:r>
          </w:p>
        </w:tc>
        <w:tc>
          <w:tcPr>
            <w:tcW w:type="dxa" w:w="7703"/>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Only 14 records explicitly state UGiFT marking. 4,419 explicitly state that engraving is absent. 14,593 records contain a tag number, which does not by itself prove a physical UGiFT engraving.</w:t>
            </w:r>
          </w:p>
        </w:tc>
      </w:tr>
      <w:tr>
        <w:trPr>
          <w:cantSplit/>
        </w:trPr>
        <w:tc>
          <w:tcPr>
            <w:tcW w:type="dxa" w:w="2376"/>
            <w:tcMar>
              <w:top w:w="85" w:type="dxa"/>
              <w:start w:w="95" w:type="dxa"/>
              <w:bottom w:w="85" w:type="dxa"/>
              <w:end w:w="95" w:type="dxa"/>
            </w:tcMar>
            <w:vAlign w:val="center"/>
          </w:tcPr>
          <w:p>
            <w:pPr>
              <w:spacing w:after="0" w:line="252" w:lineRule="auto"/>
              <w:jc w:val="left"/>
            </w:pPr>
            <w:r>
              <w:rPr>
                <w:rFonts w:ascii="Arial" w:hAnsi="Arial"/>
                <w:color w:val="000000"/>
                <w:sz w:val="17"/>
              </w:rPr>
              <w:t>Condition and maintenance</w:t>
            </w:r>
          </w:p>
        </w:tc>
        <w:tc>
          <w:tcPr>
            <w:tcW w:type="dxa" w:w="7703"/>
            <w:tcMar>
              <w:top w:w="85" w:type="dxa"/>
              <w:start w:w="95" w:type="dxa"/>
              <w:bottom w:w="85" w:type="dxa"/>
              <w:end w:w="95" w:type="dxa"/>
            </w:tcMar>
            <w:vAlign w:val="center"/>
          </w:tcPr>
          <w:p>
            <w:pPr>
              <w:spacing w:after="0" w:line="252" w:lineRule="auto"/>
              <w:jc w:val="left"/>
            </w:pPr>
            <w:r>
              <w:rPr>
                <w:rFonts w:ascii="Arial" w:hAnsi="Arial"/>
                <w:color w:val="000000"/>
                <w:sz w:val="17"/>
              </w:rPr>
              <w:t>Source wording indicates good, working or in-use condition for 112,037 records. 2,915 are negative only, while 14,061 describe mixed groups.</w:t>
            </w:r>
          </w:p>
        </w:tc>
      </w:tr>
      <w:tr>
        <w:trPr>
          <w:cantSplit/>
        </w:trPr>
        <w:tc>
          <w:tcPr>
            <w:tcW w:type="dxa" w:w="237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Cost</w:t>
            </w:r>
          </w:p>
        </w:tc>
        <w:tc>
          <w:tcPr>
            <w:tcW w:type="dxa" w:w="7703"/>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Known asset costs total UGX 47.19 billion, but 156,572 records have no cost. This known total must not be read as the value of the full portfolio.</w:t>
            </w:r>
          </w:p>
        </w:tc>
      </w:tr>
    </w:tbl>
    <w:p>
      <w:pPr>
        <w:spacing w:after="20" w:before="0"/>
      </w:pPr>
    </w:p>
    <w:p>
      <w:r>
        <w:rPr>
          <w:rFonts w:ascii="Arial" w:hAnsi="Arial"/>
          <w:b/>
        </w:rPr>
        <w:t>A return can establish that information was received without proving that every item was seen.</w:t>
      </w:r>
      <w:r>
        <w:rPr>
          <w:rFonts w:ascii="Arial" w:hAnsi="Arial"/>
        </w:rPr>
        <w:t xml:space="preserve"> In the same way, a line describing a group of assets may say that some units are broken without identifying each unit. For that reason, this report keeps facility coverage, asset-level flags and text-screening results separate.</w:t>
      </w:r>
    </w:p>
    <w:p>
      <w:pPr>
        <w:pStyle w:val="Heading2"/>
        <w:keepNext/>
      </w:pPr>
      <w:r>
        <w:rPr>
          <w:rFonts w:ascii="Arial" w:hAnsi="Arial"/>
        </w:rPr>
        <w:t>Priority actions</w:t>
      </w:r>
    </w:p>
    <w:p>
      <w:pPr>
        <w:pStyle w:val="ListBullet"/>
      </w:pPr>
      <w:r>
        <w:rPr>
          <w:rFonts w:ascii="Arial" w:hAnsi="Arial"/>
        </w:rPr>
        <w:t>Confirm the 8 facilities reported absent and resolve the 46 master entries whose identity, location or verification account remains uncertain.</w:t>
      </w:r>
    </w:p>
    <w:p>
      <w:pPr>
        <w:pStyle w:val="ListBullet"/>
      </w:pPr>
      <w:r>
        <w:rPr>
          <w:rFonts w:ascii="Arial" w:hAnsi="Arial"/>
        </w:rPr>
        <w:t>Match or formally add the 37 ground-only returns, with the relevant local government approving each outcome.</w:t>
      </w:r>
    </w:p>
    <w:p>
      <w:pPr>
        <w:pStyle w:val="ListBullet"/>
      </w:pPr>
      <w:r>
        <w:rPr>
          <w:rFonts w:ascii="Arial" w:hAnsi="Arial"/>
        </w:rPr>
        <w:t>Record custody transfers for the facilities whose UGiFT assets were relocated or whose original facility was replaced.</w:t>
      </w:r>
    </w:p>
    <w:p>
      <w:pPr>
        <w:pStyle w:val="ListBullet"/>
      </w:pPr>
      <w:r>
        <w:rPr>
          <w:rFonts w:ascii="Arial" w:hAnsi="Arial"/>
        </w:rPr>
        <w:t>Inspect the 1,265 records with box or unopened wording and the 6,713 records described as not yet used, installed, assembled or commissioned.</w:t>
      </w:r>
    </w:p>
    <w:p>
      <w:pPr>
        <w:pStyle w:val="ListBullet"/>
      </w:pPr>
      <w:r>
        <w:rPr>
          <w:rFonts w:ascii="Arial" w:hAnsi="Arial"/>
        </w:rPr>
        <w:t>Run a focused engraving and tagging exercise, starting with facilities that explicitly reported unengraved assets and high-value ICT or medical equipment.</w:t>
      </w:r>
    </w:p>
    <w:p>
      <w:pPr>
        <w:pStyle w:val="ListBullet"/>
      </w:pPr>
      <w:r>
        <w:rPr>
          <w:rFonts w:ascii="Arial" w:hAnsi="Arial"/>
        </w:rPr>
        <w:t>Build a cost-estimation schedule from approved peer assets within the same local government. Keep estimated amounts separate from source costs until reviewed and approved.</w:t>
      </w:r>
    </w:p>
    <w:p>
      <w:r>
        <w:rPr>
          <w:rFonts w:ascii="Arial" w:hAnsi="Arial"/>
        </w:rPr>
        <w:br w:type="page"/>
      </w:r>
    </w:p>
    <w:p>
      <w:pPr>
        <w:pStyle w:val="Heading1"/>
        <w:keepNext/>
      </w:pPr>
      <w:r>
        <w:rPr>
          <w:rFonts w:ascii="Arial" w:hAnsi="Arial"/>
        </w:rPr>
        <w:t>Scope and review process</w:t>
      </w:r>
    </w:p>
    <w:p>
      <w:r>
        <w:rPr>
          <w:rFonts w:ascii="Arial" w:hAnsi="Arial"/>
        </w:rPr>
        <w:t>The work began with the master list of schools and health centres, the team allocation, facility returns, district and ministry registers, and the raw evidence index. Files were preserved in their original form. Facility names were then reconciled before asset rows were normalized, because counting assets against an unresolved facility can create a clean-looking register with the wrong custodian.</w:t>
      </w:r>
    </w:p>
    <w:p>
      <w:pPr>
        <w:pStyle w:val="Heading2"/>
        <w:keepNext/>
      </w:pPr>
      <w:r>
        <w:rPr>
          <w:rFonts w:ascii="Arial" w:hAnsi="Arial"/>
        </w:rPr>
        <w:t>Process followed</w:t>
      </w:r>
    </w:p>
    <w:p>
      <w:pPr>
        <w:pStyle w:val="ListNumber"/>
      </w:pPr>
      <w:r>
        <w:rPr>
          <w:rFonts w:ascii="Arial" w:hAnsi="Arial"/>
        </w:rPr>
        <w:t>Preserve and index the source files. Each usable record keeps its source filename and worksheet, table, row or page locator.</w:t>
      </w:r>
    </w:p>
    <w:p>
      <w:pPr>
        <w:pStyle w:val="ListNumber"/>
      </w:pPr>
      <w:r>
        <w:rPr>
          <w:rFonts w:ascii="Arial" w:hAnsi="Arial"/>
        </w:rPr>
        <w:t>Create one master facility record for each distinct listed school or health centre. Repeated master rows remain traceable but do not increase the facility count.</w:t>
      </w:r>
    </w:p>
    <w:p>
      <w:pPr>
        <w:pStyle w:val="ListNumber"/>
      </w:pPr>
      <w:r>
        <w:rPr>
          <w:rFonts w:ascii="Arial" w:hAnsi="Arial"/>
        </w:rPr>
        <w:t>Match field names to the master using local government, facility type, known aliases, source folders and reviewed supervisor decisions. Uncertain matches remain open.</w:t>
      </w:r>
    </w:p>
    <w:p>
      <w:pPr>
        <w:pStyle w:val="ListNumber"/>
      </w:pPr>
      <w:r>
        <w:rPr>
          <w:rFonts w:ascii="Arial" w:hAnsi="Arial"/>
        </w:rPr>
        <w:t>Separate facility outcomes into field evidence, no return, needs review, reported absent, no UGiFT assets, outside UGiFT and replaced.</w:t>
      </w:r>
    </w:p>
    <w:p>
      <w:pPr>
        <w:pStyle w:val="ListNumber"/>
      </w:pPr>
      <w:r>
        <w:rPr>
          <w:rFonts w:ascii="Arial" w:hAnsi="Arial"/>
        </w:rPr>
        <w:t>Normalize supported assets to one item per register row. Preserve group-level notes where the source does not identify individual units.</w:t>
      </w:r>
    </w:p>
    <w:p>
      <w:pPr>
        <w:pStyle w:val="ListNumber"/>
      </w:pPr>
      <w:r>
        <w:rPr>
          <w:rFonts w:ascii="Arial" w:hAnsi="Arial"/>
        </w:rPr>
        <w:t>Classify assets, retain exact tags and serial numbers where available, and leave unsupported fields blank rather than creating identifiers or dates.</w:t>
      </w:r>
    </w:p>
    <w:p>
      <w:pPr>
        <w:pStyle w:val="ListNumber"/>
      </w:pPr>
      <w:r>
        <w:rPr>
          <w:rFonts w:ascii="Arial" w:hAnsi="Arial"/>
        </w:rPr>
        <w:t>Retain explicit costs. Where a reliable line total and quantity exist, allocate the unit cost only when the source shows that the items are homogeneous.</w:t>
      </w:r>
    </w:p>
    <w:p>
      <w:pPr>
        <w:pStyle w:val="ListNumber"/>
      </w:pPr>
      <w:r>
        <w:rPr>
          <w:rFonts w:ascii="Arial" w:hAnsi="Arial"/>
        </w:rPr>
        <w:t>Review exceptions separately. Overlaps, unknown quantities, consumables, unmatched facilities and conflicting source counts stay in review records instead of being silently forced into the main register.</w:t>
      </w:r>
    </w:p>
    <w:p>
      <w:pPr>
        <w:pStyle w:val="Heading2"/>
        <w:keepNext/>
      </w:pPr>
      <w:r>
        <w:rPr>
          <w:rFonts w:ascii="Arial" w:hAnsi="Arial"/>
        </w:rPr>
        <w:t>Evidence base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2880"/>
            <w:shd w:fill="17365D"/>
            <w:tcMar>
              <w:top w:w="105" w:type="dxa"/>
              <w:start w:w="95" w:type="dxa"/>
              <w:bottom w:w="105" w:type="dxa"/>
              <w:end w:w="95" w:type="dxa"/>
            </w:tcMar>
            <w:vAlign w:val="center"/>
          </w:tcPr>
          <w:p>
            <w:pPr>
              <w:spacing w:after="0"/>
              <w:jc w:val="left"/>
            </w:pPr>
            <w:r>
              <w:rPr>
                <w:rFonts w:ascii="Arial" w:hAnsi="Arial"/>
                <w:b/>
                <w:color w:val="FFFFFF"/>
                <w:sz w:val="17"/>
              </w:rPr>
              <w:t>Evidence</w:t>
            </w:r>
          </w:p>
        </w:tc>
        <w:tc>
          <w:tcPr>
            <w:tcW w:type="dxa" w:w="1440"/>
            <w:shd w:fill="17365D"/>
            <w:tcMar>
              <w:top w:w="105" w:type="dxa"/>
              <w:start w:w="95" w:type="dxa"/>
              <w:bottom w:w="105" w:type="dxa"/>
              <w:end w:w="95" w:type="dxa"/>
            </w:tcMar>
            <w:vAlign w:val="center"/>
          </w:tcPr>
          <w:p>
            <w:pPr>
              <w:spacing w:after="0"/>
              <w:jc w:val="left"/>
            </w:pPr>
            <w:r>
              <w:rPr>
                <w:rFonts w:ascii="Arial" w:hAnsi="Arial"/>
                <w:b/>
                <w:color w:val="FFFFFF"/>
                <w:sz w:val="17"/>
              </w:rPr>
              <w:t>Count</w:t>
            </w:r>
          </w:p>
        </w:tc>
        <w:tc>
          <w:tcPr>
            <w:tcW w:type="dxa" w:w="5760"/>
            <w:shd w:fill="17365D"/>
            <w:tcMar>
              <w:top w:w="105" w:type="dxa"/>
              <w:start w:w="95" w:type="dxa"/>
              <w:bottom w:w="105" w:type="dxa"/>
              <w:end w:w="95" w:type="dxa"/>
            </w:tcMar>
            <w:vAlign w:val="center"/>
          </w:tcPr>
          <w:p>
            <w:pPr>
              <w:spacing w:after="0"/>
              <w:jc w:val="left"/>
            </w:pPr>
            <w:r>
              <w:rPr>
                <w:rFonts w:ascii="Arial" w:hAnsi="Arial"/>
                <w:b/>
                <w:color w:val="FFFFFF"/>
                <w:sz w:val="17"/>
              </w:rPr>
              <w:t>Meaning</w:t>
            </w:r>
          </w:p>
        </w:tc>
      </w:tr>
      <w:tr>
        <w:trPr>
          <w:cantSplit/>
        </w:trPr>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7"/>
              </w:rPr>
              <w:t>Master facility records</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7"/>
              </w:rPr>
              <w:t>629</w:t>
            </w:r>
          </w:p>
        </w:tc>
        <w:tc>
          <w:tcPr>
            <w:tcW w:type="dxa" w:w="5760"/>
            <w:tcMar>
              <w:top w:w="85" w:type="dxa"/>
              <w:start w:w="95" w:type="dxa"/>
              <w:bottom w:w="85" w:type="dxa"/>
              <w:end w:w="95" w:type="dxa"/>
            </w:tcMar>
            <w:vAlign w:val="center"/>
          </w:tcPr>
          <w:p>
            <w:pPr>
              <w:spacing w:after="0" w:line="252" w:lineRule="auto"/>
              <w:jc w:val="left"/>
            </w:pPr>
            <w:r>
              <w:rPr>
                <w:rFonts w:ascii="Arial" w:hAnsi="Arial"/>
                <w:color w:val="000000"/>
                <w:sz w:val="17"/>
              </w:rPr>
              <w:t>Distinct schools and health centres after within-LG duplicate handling</w:t>
            </w:r>
          </w:p>
        </w:tc>
      </w:tr>
      <w:tr>
        <w:trPr>
          <w:cantSplit/>
        </w:trPr>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Master source rows</w:t>
            </w:r>
          </w:p>
        </w:tc>
        <w:tc>
          <w:tcPr>
            <w:tcW w:type="dxa" w:w="144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632</w:t>
            </w:r>
          </w:p>
        </w:tc>
        <w:tc>
          <w:tcPr>
            <w:tcW w:type="dxa" w:w="576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Original rows retained for traceability</w:t>
            </w:r>
          </w:p>
        </w:tc>
      </w:tr>
      <w:tr>
        <w:trPr>
          <w:cantSplit/>
        </w:trPr>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7"/>
              </w:rPr>
              <w:t>Asset source records</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7"/>
              </w:rPr>
              <w:t>34,599</w:t>
            </w:r>
          </w:p>
        </w:tc>
        <w:tc>
          <w:tcPr>
            <w:tcW w:type="dxa" w:w="5760"/>
            <w:tcMar>
              <w:top w:w="85" w:type="dxa"/>
              <w:start w:w="95" w:type="dxa"/>
              <w:bottom w:w="85" w:type="dxa"/>
              <w:end w:w="95" w:type="dxa"/>
            </w:tcMar>
            <w:vAlign w:val="center"/>
          </w:tcPr>
          <w:p>
            <w:pPr>
              <w:spacing w:after="0" w:line="252" w:lineRule="auto"/>
              <w:jc w:val="left"/>
            </w:pPr>
            <w:r>
              <w:rPr>
                <w:rFonts w:ascii="Arial" w:hAnsi="Arial"/>
                <w:color w:val="000000"/>
                <w:sz w:val="17"/>
              </w:rPr>
              <w:t>Selected source lines supporting the asset register</w:t>
            </w:r>
          </w:p>
        </w:tc>
      </w:tr>
      <w:tr>
        <w:trPr>
          <w:cantSplit/>
        </w:trPr>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Asset records</w:t>
            </w:r>
          </w:p>
        </w:tc>
        <w:tc>
          <w:tcPr>
            <w:tcW w:type="dxa" w:w="144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163,498</w:t>
            </w:r>
          </w:p>
        </w:tc>
        <w:tc>
          <w:tcPr>
            <w:tcW w:type="dxa" w:w="576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One asset per row after supported quantities were expanded</w:t>
            </w:r>
          </w:p>
        </w:tc>
      </w:tr>
      <w:tr>
        <w:trPr>
          <w:cantSplit/>
        </w:trPr>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7"/>
              </w:rPr>
              <w:t>Source files used</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7"/>
              </w:rPr>
              <w:t>425</w:t>
            </w:r>
          </w:p>
        </w:tc>
        <w:tc>
          <w:tcPr>
            <w:tcW w:type="dxa" w:w="5760"/>
            <w:tcMar>
              <w:top w:w="85" w:type="dxa"/>
              <w:start w:w="95" w:type="dxa"/>
              <w:bottom w:w="85" w:type="dxa"/>
              <w:end w:w="95" w:type="dxa"/>
            </w:tcMar>
            <w:vAlign w:val="center"/>
          </w:tcPr>
          <w:p>
            <w:pPr>
              <w:spacing w:after="0" w:line="252" w:lineRule="auto"/>
              <w:jc w:val="left"/>
            </w:pPr>
            <w:r>
              <w:rPr>
                <w:rFonts w:ascii="Arial" w:hAnsi="Arial"/>
                <w:color w:val="000000"/>
                <w:sz w:val="17"/>
              </w:rPr>
              <w:t>Facility returns and registers contributing selected asset lines</w:t>
            </w:r>
          </w:p>
        </w:tc>
      </w:tr>
      <w:tr>
        <w:trPr>
          <w:cantSplit/>
        </w:trPr>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Review entries</w:t>
            </w:r>
          </w:p>
        </w:tc>
        <w:tc>
          <w:tcPr>
            <w:tcW w:type="dxa" w:w="144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44,245</w:t>
            </w:r>
          </w:p>
        </w:tc>
        <w:tc>
          <w:tcPr>
            <w:tcW w:type="dxa" w:w="576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Quantity, classification, overlap and reconciliation matters retained for review</w:t>
            </w:r>
          </w:p>
        </w:tc>
      </w:tr>
    </w:tbl>
    <w:p>
      <w:pPr>
        <w:spacing w:after="20" w:before="0"/>
      </w:pPr>
    </w:p>
    <w:p>
      <w:pPr>
        <w:pStyle w:val="Heading2"/>
        <w:keepNext/>
      </w:pPr>
      <w:r>
        <w:rPr>
          <w:rFonts w:ascii="Arial" w:hAnsi="Arial"/>
        </w:rPr>
        <w:t>Reporting levels</w:t>
      </w:r>
    </w:p>
    <w:p>
      <w:r>
        <w:rPr>
          <w:rFonts w:ascii="Arial" w:hAnsi="Arial"/>
        </w:rPr>
        <w:t>The same evidence can be reported at four levels. The national view shows the overall exposure. The local government view assigns follow-up and supports peer-cost analysis. The facility view identifies the custodian and the condition of assets at a site. The asset view carries the individual description, cost, tag, serial number and use status where the source supports them.</w:t>
      </w:r>
    </w:p>
    <w:p>
      <w:r>
        <w:rPr>
          <w:rFonts w:ascii="Arial" w:hAnsi="Arial"/>
        </w:rPr>
        <w:br w:type="page"/>
      </w:r>
    </w:p>
    <w:p>
      <w:pPr>
        <w:pStyle w:val="Heading1"/>
        <w:keepNext/>
      </w:pPr>
      <w:r>
        <w:rPr>
          <w:rFonts w:ascii="Arial" w:hAnsi="Arial"/>
        </w:rPr>
        <w:t>Facility reconciliation</w:t>
      </w:r>
    </w:p>
    <w:p>
      <w:r>
        <w:rPr>
          <w:rFonts w:ascii="Arial" w:hAnsi="Arial"/>
        </w:rPr>
        <w:t>Coverage stands at 581 of 629 distinct master facilities, or 92.4%. This includes 519 facilities with identifiable evidence, 46 that need a decision and 16 with an explained outcome. It is an accountability measure, not a physical-verification rate.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1944"/>
            <w:shd w:fill="17365D"/>
            <w:tcMar>
              <w:top w:w="105" w:type="dxa"/>
              <w:start w:w="95" w:type="dxa"/>
              <w:bottom w:w="105" w:type="dxa"/>
              <w:end w:w="95" w:type="dxa"/>
            </w:tcMar>
            <w:vAlign w:val="center"/>
          </w:tcPr>
          <w:p>
            <w:pPr>
              <w:spacing w:after="0"/>
              <w:jc w:val="left"/>
            </w:pPr>
            <w:r>
              <w:rPr>
                <w:rFonts w:ascii="Arial" w:hAnsi="Arial"/>
                <w:b/>
                <w:color w:val="FFFFFF"/>
                <w:sz w:val="16"/>
              </w:rPr>
              <w:t>Status</w:t>
            </w:r>
          </w:p>
        </w:tc>
        <w:tc>
          <w:tcPr>
            <w:tcW w:type="dxa" w:w="1080"/>
            <w:shd w:fill="17365D"/>
            <w:tcMar>
              <w:top w:w="105" w:type="dxa"/>
              <w:start w:w="95" w:type="dxa"/>
              <w:bottom w:w="105" w:type="dxa"/>
              <w:end w:w="95" w:type="dxa"/>
            </w:tcMar>
            <w:vAlign w:val="center"/>
          </w:tcPr>
          <w:p>
            <w:pPr>
              <w:spacing w:after="0"/>
              <w:jc w:val="left"/>
            </w:pPr>
            <w:r>
              <w:rPr>
                <w:rFonts w:ascii="Arial" w:hAnsi="Arial"/>
                <w:b/>
                <w:color w:val="FFFFFF"/>
                <w:sz w:val="16"/>
              </w:rPr>
              <w:t>Facilities</w:t>
            </w:r>
          </w:p>
        </w:tc>
        <w:tc>
          <w:tcPr>
            <w:tcW w:type="dxa" w:w="1007"/>
            <w:shd w:fill="17365D"/>
            <w:tcMar>
              <w:top w:w="105" w:type="dxa"/>
              <w:start w:w="95" w:type="dxa"/>
              <w:bottom w:w="105" w:type="dxa"/>
              <w:end w:w="95" w:type="dxa"/>
            </w:tcMar>
            <w:vAlign w:val="center"/>
          </w:tcPr>
          <w:p>
            <w:pPr>
              <w:spacing w:after="0"/>
              <w:jc w:val="left"/>
            </w:pPr>
            <w:r>
              <w:rPr>
                <w:rFonts w:ascii="Arial" w:hAnsi="Arial"/>
                <w:b/>
                <w:color w:val="FFFFFF"/>
                <w:sz w:val="16"/>
              </w:rPr>
              <w:t>Share</w:t>
            </w:r>
          </w:p>
        </w:tc>
        <w:tc>
          <w:tcPr>
            <w:tcW w:type="dxa" w:w="6048"/>
            <w:shd w:fill="17365D"/>
            <w:tcMar>
              <w:top w:w="105" w:type="dxa"/>
              <w:start w:w="95" w:type="dxa"/>
              <w:bottom w:w="105" w:type="dxa"/>
              <w:end w:w="95" w:type="dxa"/>
            </w:tcMar>
            <w:vAlign w:val="center"/>
          </w:tcPr>
          <w:p>
            <w:pPr>
              <w:spacing w:after="0"/>
              <w:jc w:val="left"/>
            </w:pPr>
            <w:r>
              <w:rPr>
                <w:rFonts w:ascii="Arial" w:hAnsi="Arial"/>
                <w:b/>
                <w:color w:val="FFFFFF"/>
                <w:sz w:val="16"/>
              </w:rPr>
              <w:t>Interpretation</w:t>
            </w:r>
          </w:p>
        </w:tc>
      </w:tr>
      <w:tr>
        <w:trPr>
          <w:cantSplit/>
        </w:trP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6"/>
              </w:rPr>
              <w:t>Field evidence</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519</w:t>
            </w:r>
          </w:p>
        </w:tc>
        <w:tc>
          <w:tcPr>
            <w:tcW w:type="dxa" w:w="1007"/>
            <w:tcMar>
              <w:top w:w="85" w:type="dxa"/>
              <w:start w:w="95" w:type="dxa"/>
              <w:bottom w:w="85" w:type="dxa"/>
              <w:end w:w="95" w:type="dxa"/>
            </w:tcMar>
            <w:vAlign w:val="center"/>
          </w:tcPr>
          <w:p>
            <w:pPr>
              <w:spacing w:after="0" w:line="252" w:lineRule="auto"/>
              <w:jc w:val="left"/>
            </w:pPr>
            <w:r>
              <w:rPr>
                <w:rFonts w:ascii="Arial" w:hAnsi="Arial"/>
                <w:color w:val="000000"/>
                <w:sz w:val="16"/>
              </w:rPr>
              <w:t>82.5%</w:t>
            </w:r>
          </w:p>
        </w:tc>
        <w:tc>
          <w:tcPr>
            <w:tcW w:type="dxa" w:w="6048"/>
            <w:tcMar>
              <w:top w:w="85" w:type="dxa"/>
              <w:start w:w="95" w:type="dxa"/>
              <w:bottom w:w="85" w:type="dxa"/>
              <w:end w:w="95" w:type="dxa"/>
            </w:tcMar>
            <w:vAlign w:val="center"/>
          </w:tcPr>
          <w:p>
            <w:pPr>
              <w:spacing w:after="0" w:line="252" w:lineRule="auto"/>
              <w:jc w:val="left"/>
            </w:pPr>
            <w:r>
              <w:rPr>
                <w:rFonts w:ascii="Arial" w:hAnsi="Arial"/>
                <w:color w:val="000000"/>
                <w:sz w:val="16"/>
              </w:rPr>
              <w:t>A facility return or identifiable register information is available.</w:t>
            </w:r>
          </w:p>
        </w:tc>
      </w:tr>
      <w:tr>
        <w:trPr>
          <w:cantSplit/>
        </w:trP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No return</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48</w:t>
            </w:r>
          </w:p>
        </w:tc>
        <w:tc>
          <w:tcPr>
            <w:tcW w:type="dxa" w:w="1007"/>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7.6%</w:t>
            </w:r>
          </w:p>
        </w:tc>
        <w:tc>
          <w:tcPr>
            <w:tcW w:type="dxa" w:w="604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No matched return or identifiable asset row is on file.</w:t>
            </w:r>
          </w:p>
        </w:tc>
      </w:tr>
      <w:tr>
        <w:trPr>
          <w:cantSplit/>
        </w:trP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6"/>
              </w:rPr>
              <w:t>Needs review</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46</w:t>
            </w:r>
          </w:p>
        </w:tc>
        <w:tc>
          <w:tcPr>
            <w:tcW w:type="dxa" w:w="1007"/>
            <w:tcMar>
              <w:top w:w="85" w:type="dxa"/>
              <w:start w:w="95" w:type="dxa"/>
              <w:bottom w:w="85" w:type="dxa"/>
              <w:end w:w="95" w:type="dxa"/>
            </w:tcMar>
            <w:vAlign w:val="center"/>
          </w:tcPr>
          <w:p>
            <w:pPr>
              <w:spacing w:after="0" w:line="252" w:lineRule="auto"/>
              <w:jc w:val="left"/>
            </w:pPr>
            <w:r>
              <w:rPr>
                <w:rFonts w:ascii="Arial" w:hAnsi="Arial"/>
                <w:color w:val="000000"/>
                <w:sz w:val="16"/>
              </w:rPr>
              <w:t>7.3%</w:t>
            </w:r>
          </w:p>
        </w:tc>
        <w:tc>
          <w:tcPr>
            <w:tcW w:type="dxa" w:w="6048"/>
            <w:tcMar>
              <w:top w:w="85" w:type="dxa"/>
              <w:start w:w="95" w:type="dxa"/>
              <w:bottom w:w="85" w:type="dxa"/>
              <w:end w:w="95" w:type="dxa"/>
            </w:tcMar>
            <w:vAlign w:val="center"/>
          </w:tcPr>
          <w:p>
            <w:pPr>
              <w:spacing w:after="0" w:line="252" w:lineRule="auto"/>
              <w:jc w:val="left"/>
            </w:pPr>
            <w:r>
              <w:rPr>
                <w:rFonts w:ascii="Arial" w:hAnsi="Arial"/>
                <w:color w:val="000000"/>
                <w:sz w:val="16"/>
              </w:rPr>
              <w:t>The return exists, but identity, location or verification needs confirmation.</w:t>
            </w:r>
          </w:p>
        </w:tc>
      </w:tr>
      <w:tr>
        <w:trPr>
          <w:cantSplit/>
        </w:trP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Reported absent</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8</w:t>
            </w:r>
          </w:p>
        </w:tc>
        <w:tc>
          <w:tcPr>
            <w:tcW w:type="dxa" w:w="1007"/>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1.3%</w:t>
            </w:r>
          </w:p>
        </w:tc>
        <w:tc>
          <w:tcPr>
            <w:tcW w:type="dxa" w:w="604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A field or supervisor account says the listed facility does not exist or was not constructed.</w:t>
            </w:r>
          </w:p>
        </w:tc>
      </w:tr>
      <w:tr>
        <w:trPr>
          <w:cantSplit/>
        </w:trP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6"/>
              </w:rPr>
              <w:t>No UGiFT assets</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4</w:t>
            </w:r>
          </w:p>
        </w:tc>
        <w:tc>
          <w:tcPr>
            <w:tcW w:type="dxa" w:w="1007"/>
            <w:tcMar>
              <w:top w:w="85" w:type="dxa"/>
              <w:start w:w="95" w:type="dxa"/>
              <w:bottom w:w="85" w:type="dxa"/>
              <w:end w:w="95" w:type="dxa"/>
            </w:tcMar>
            <w:vAlign w:val="center"/>
          </w:tcPr>
          <w:p>
            <w:pPr>
              <w:spacing w:after="0" w:line="252" w:lineRule="auto"/>
              <w:jc w:val="left"/>
            </w:pPr>
            <w:r>
              <w:rPr>
                <w:rFonts w:ascii="Arial" w:hAnsi="Arial"/>
                <w:color w:val="000000"/>
                <w:sz w:val="16"/>
              </w:rPr>
              <w:t>0.6%</w:t>
            </w:r>
          </w:p>
        </w:tc>
        <w:tc>
          <w:tcPr>
            <w:tcW w:type="dxa" w:w="6048"/>
            <w:tcMar>
              <w:top w:w="85" w:type="dxa"/>
              <w:start w:w="95" w:type="dxa"/>
              <w:bottom w:w="85" w:type="dxa"/>
              <w:end w:w="95" w:type="dxa"/>
            </w:tcMar>
            <w:vAlign w:val="center"/>
          </w:tcPr>
          <w:p>
            <w:pPr>
              <w:spacing w:after="0" w:line="252" w:lineRule="auto"/>
              <w:jc w:val="left"/>
            </w:pPr>
            <w:r>
              <w:rPr>
                <w:rFonts w:ascii="Arial" w:hAnsi="Arial"/>
                <w:color w:val="000000"/>
                <w:sz w:val="16"/>
              </w:rPr>
              <w:t>The facility exists but has no UGiFT assets at the site.</w:t>
            </w:r>
          </w:p>
        </w:tc>
      </w:tr>
      <w:tr>
        <w:trPr>
          <w:cantSplit/>
        </w:trP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Outside UGiFT</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w:t>
            </w:r>
          </w:p>
        </w:tc>
        <w:tc>
          <w:tcPr>
            <w:tcW w:type="dxa" w:w="1007"/>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0.3%</w:t>
            </w:r>
          </w:p>
        </w:tc>
        <w:tc>
          <w:tcPr>
            <w:tcW w:type="dxa" w:w="604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The facility exists but was reported outside the verified UGiFT scope.</w:t>
            </w:r>
          </w:p>
        </w:tc>
      </w:tr>
      <w:tr>
        <w:trPr>
          <w:cantSplit/>
        </w:trP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6"/>
              </w:rPr>
              <w:t>Replaced</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2</w:t>
            </w:r>
          </w:p>
        </w:tc>
        <w:tc>
          <w:tcPr>
            <w:tcW w:type="dxa" w:w="1007"/>
            <w:tcMar>
              <w:top w:w="85" w:type="dxa"/>
              <w:start w:w="95" w:type="dxa"/>
              <w:bottom w:w="85" w:type="dxa"/>
              <w:end w:w="95" w:type="dxa"/>
            </w:tcMar>
            <w:vAlign w:val="center"/>
          </w:tcPr>
          <w:p>
            <w:pPr>
              <w:spacing w:after="0" w:line="252" w:lineRule="auto"/>
              <w:jc w:val="left"/>
            </w:pPr>
            <w:r>
              <w:rPr>
                <w:rFonts w:ascii="Arial" w:hAnsi="Arial"/>
                <w:color w:val="000000"/>
                <w:sz w:val="16"/>
              </w:rPr>
              <w:t>0.3%</w:t>
            </w:r>
          </w:p>
        </w:tc>
        <w:tc>
          <w:tcPr>
            <w:tcW w:type="dxa" w:w="6048"/>
            <w:tcMar>
              <w:top w:w="85" w:type="dxa"/>
              <w:start w:w="95" w:type="dxa"/>
              <w:bottom w:w="85" w:type="dxa"/>
              <w:end w:w="95" w:type="dxa"/>
            </w:tcMar>
            <w:vAlign w:val="center"/>
          </w:tcPr>
          <w:p>
            <w:pPr>
              <w:spacing w:after="0" w:line="252" w:lineRule="auto"/>
              <w:jc w:val="left"/>
            </w:pPr>
            <w:r>
              <w:rPr>
                <w:rFonts w:ascii="Arial" w:hAnsi="Arial"/>
                <w:color w:val="000000"/>
                <w:sz w:val="16"/>
              </w:rPr>
              <w:t>The listed facility was replaced and evidence is counted under the receiving facility.</w:t>
            </w:r>
          </w:p>
        </w:tc>
      </w:tr>
    </w:tbl>
    <w:p>
      <w:pPr>
        <w:spacing w:after="20" w:before="0"/>
      </w:pPr>
    </w:p>
    <w:p>
      <w:pPr>
        <w:pStyle w:val="Heading2"/>
        <w:keepNext/>
      </w:pPr>
      <w:r>
        <w:rPr>
          <w:rFonts w:ascii="Arial" w:hAnsi="Arial"/>
        </w:rPr>
        <w:t>Facilities on the list but reported absent</w:t>
      </w:r>
    </w:p>
    <w:p>
      <w:r>
        <w:rPr>
          <w:rFonts w:ascii="Arial" w:hAnsi="Arial"/>
        </w:rPr>
        <w:t>Eight master entries are reported absent. These are not treated as independently proven non-existent. Each local government should confirm the master-list treatment and retain the written decision.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720"/>
            <w:shd w:fill="17365D"/>
            <w:tcMar>
              <w:top w:w="105" w:type="dxa"/>
              <w:start w:w="95" w:type="dxa"/>
              <w:bottom w:w="105" w:type="dxa"/>
              <w:end w:w="95" w:type="dxa"/>
            </w:tcMar>
            <w:vAlign w:val="center"/>
          </w:tcPr>
          <w:p>
            <w:pPr>
              <w:spacing w:after="0"/>
              <w:jc w:val="left"/>
            </w:pPr>
            <w:r>
              <w:rPr>
                <w:rFonts w:ascii="Arial" w:hAnsi="Arial"/>
                <w:b/>
                <w:color w:val="FFFFFF"/>
                <w:sz w:val="15"/>
              </w:rPr>
              <w:t>ID</w:t>
            </w:r>
          </w:p>
        </w:tc>
        <w:tc>
          <w:tcPr>
            <w:tcW w:type="dxa" w:w="1800"/>
            <w:shd w:fill="17365D"/>
            <w:tcMar>
              <w:top w:w="105" w:type="dxa"/>
              <w:start w:w="95" w:type="dxa"/>
              <w:bottom w:w="105" w:type="dxa"/>
              <w:end w:w="95" w:type="dxa"/>
            </w:tcMar>
            <w:vAlign w:val="center"/>
          </w:tcPr>
          <w:p>
            <w:pPr>
              <w:spacing w:after="0"/>
              <w:jc w:val="left"/>
            </w:pPr>
            <w:r>
              <w:rPr>
                <w:rFonts w:ascii="Arial" w:hAnsi="Arial"/>
                <w:b/>
                <w:color w:val="FFFFFF"/>
                <w:sz w:val="15"/>
              </w:rPr>
              <w:t>Local government</w:t>
            </w:r>
          </w:p>
        </w:tc>
        <w:tc>
          <w:tcPr>
            <w:tcW w:type="dxa" w:w="2880"/>
            <w:shd w:fill="17365D"/>
            <w:tcMar>
              <w:top w:w="105" w:type="dxa"/>
              <w:start w:w="95" w:type="dxa"/>
              <w:bottom w:w="105" w:type="dxa"/>
              <w:end w:w="95" w:type="dxa"/>
            </w:tcMar>
            <w:vAlign w:val="center"/>
          </w:tcPr>
          <w:p>
            <w:pPr>
              <w:spacing w:after="0"/>
              <w:jc w:val="left"/>
            </w:pPr>
            <w:r>
              <w:rPr>
                <w:rFonts w:ascii="Arial" w:hAnsi="Arial"/>
                <w:b/>
                <w:color w:val="FFFFFF"/>
                <w:sz w:val="15"/>
              </w:rPr>
              <w:t>Facility</w:t>
            </w:r>
          </w:p>
        </w:tc>
        <w:tc>
          <w:tcPr>
            <w:tcW w:type="dxa" w:w="4680"/>
            <w:shd w:fill="17365D"/>
            <w:tcMar>
              <w:top w:w="105" w:type="dxa"/>
              <w:start w:w="95" w:type="dxa"/>
              <w:bottom w:w="105" w:type="dxa"/>
              <w:end w:w="95" w:type="dxa"/>
            </w:tcMar>
            <w:vAlign w:val="center"/>
          </w:tcPr>
          <w:p>
            <w:pPr>
              <w:spacing w:after="0"/>
              <w:jc w:val="left"/>
            </w:pPr>
            <w:r>
              <w:rPr>
                <w:rFonts w:ascii="Arial" w:hAnsi="Arial"/>
                <w:b/>
                <w:color w:val="FFFFFF"/>
                <w:sz w:val="15"/>
              </w:rPr>
              <w:t>Recorded basis</w:t>
            </w:r>
          </w:p>
        </w:tc>
      </w:tr>
      <w:tr>
        <w:trPr>
          <w:cantSplit/>
        </w:trPr>
        <w:tc>
          <w:tcPr>
            <w:tcW w:type="dxa" w:w="720"/>
            <w:tcMar>
              <w:top w:w="85" w:type="dxa"/>
              <w:start w:w="95" w:type="dxa"/>
              <w:bottom w:w="85" w:type="dxa"/>
              <w:end w:w="95" w:type="dxa"/>
            </w:tcMar>
            <w:vAlign w:val="center"/>
          </w:tcPr>
          <w:p>
            <w:pPr>
              <w:spacing w:after="0" w:line="252" w:lineRule="auto"/>
              <w:jc w:val="left"/>
            </w:pPr>
            <w:r>
              <w:rPr>
                <w:rFonts w:ascii="Arial" w:hAnsi="Arial"/>
                <w:color w:val="000000"/>
                <w:sz w:val="15"/>
              </w:rPr>
              <w:t>H227</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Yumbe</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5"/>
              </w:rPr>
              <w:t>Lodonga Tc Health Centre III</w:t>
            </w:r>
          </w:p>
        </w:tc>
        <w:tc>
          <w:tcPr>
            <w:tcW w:type="dxa" w:w="4680"/>
            <w:tcMar>
              <w:top w:w="85" w:type="dxa"/>
              <w:start w:w="95" w:type="dxa"/>
              <w:bottom w:w="85" w:type="dxa"/>
              <w:end w:w="95" w:type="dxa"/>
            </w:tcMar>
            <w:vAlign w:val="center"/>
          </w:tcPr>
          <w:p>
            <w:pPr>
              <w:spacing w:after="0" w:line="252" w:lineRule="auto"/>
              <w:jc w:val="left"/>
            </w:pPr>
            <w:r>
              <w:rPr>
                <w:rFonts w:ascii="Arial" w:hAnsi="Arial"/>
                <w:color w:val="000000"/>
                <w:sz w:val="15"/>
              </w:rPr>
              <w:t>The supervisor reports that Lodonga TC is not known to Yumbe District. This is a reported absence, not independent proof that the facility does not exist.</w:t>
            </w:r>
          </w:p>
        </w:tc>
      </w:tr>
      <w:tr>
        <w:trPr>
          <w:cantSplit/>
        </w:trPr>
        <w:tc>
          <w:tcPr>
            <w:tcW w:type="dxa" w:w="72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H205</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Pader</w:t>
            </w:r>
          </w:p>
        </w:tc>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Olok Health Centre III</w:t>
            </w:r>
          </w:p>
        </w:tc>
        <w:tc>
          <w:tcPr>
            <w:tcW w:type="dxa" w:w="46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Combined Olok HC / Latanya school report records the DHO saying Olok HC does not exist and was not constructed. Latanya school is separate.</w:t>
            </w:r>
          </w:p>
        </w:tc>
      </w:tr>
      <w:tr>
        <w:trPr>
          <w:cantSplit/>
        </w:trPr>
        <w:tc>
          <w:tcPr>
            <w:tcW w:type="dxa" w:w="720"/>
            <w:tcMar>
              <w:top w:w="85" w:type="dxa"/>
              <w:start w:w="95" w:type="dxa"/>
              <w:bottom w:w="85" w:type="dxa"/>
              <w:end w:w="95" w:type="dxa"/>
            </w:tcMar>
            <w:vAlign w:val="center"/>
          </w:tcPr>
          <w:p>
            <w:pPr>
              <w:spacing w:after="0" w:line="252" w:lineRule="auto"/>
              <w:jc w:val="left"/>
            </w:pPr>
            <w:r>
              <w:rPr>
                <w:rFonts w:ascii="Arial" w:hAnsi="Arial"/>
                <w:color w:val="000000"/>
                <w:sz w:val="15"/>
              </w:rPr>
              <w:t>H190</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Lira</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5"/>
              </w:rPr>
              <w:t>Alik Health Centre III</w:t>
            </w:r>
          </w:p>
        </w:tc>
        <w:tc>
          <w:tcPr>
            <w:tcW w:type="dxa" w:w="4680"/>
            <w:tcMar>
              <w:top w:w="85" w:type="dxa"/>
              <w:start w:w="95" w:type="dxa"/>
              <w:bottom w:w="85" w:type="dxa"/>
              <w:end w:w="95" w:type="dxa"/>
            </w:tcMar>
            <w:vAlign w:val="center"/>
          </w:tcPr>
          <w:p>
            <w:pPr>
              <w:spacing w:after="0" w:line="252" w:lineRule="auto"/>
              <w:jc w:val="left"/>
            </w:pPr>
            <w:r>
              <w:rPr>
                <w:rFonts w:ascii="Arial" w:hAnsi="Arial"/>
                <w:color w:val="000000"/>
                <w:sz w:val="15"/>
              </w:rPr>
              <w:t>The supervisor explicitly reports that Alik does not exist in Lira. Barlonyo and Onywako are named on the ground, but neither is identified as a one-to-one replacement for Alik; the Onywako return also says physical verification was not performed.</w:t>
            </w:r>
          </w:p>
        </w:tc>
      </w:tr>
      <w:tr>
        <w:trPr>
          <w:cantSplit/>
        </w:trPr>
        <w:tc>
          <w:tcPr>
            <w:tcW w:type="dxa" w:w="72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H197</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Oyam</w:t>
            </w:r>
          </w:p>
        </w:tc>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Acimi Health Centre III</w:t>
            </w:r>
          </w:p>
        </w:tc>
        <w:tc>
          <w:tcPr>
            <w:tcW w:type="dxa" w:w="46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The revised Oyam decision confirms that Acimi is not among the six upgraded UgIFT Health Centre IIIs and retains the earlier report that it does not exist.</w:t>
            </w:r>
          </w:p>
        </w:tc>
      </w:tr>
      <w:tr>
        <w:trPr>
          <w:cantSplit/>
        </w:trPr>
        <w:tc>
          <w:tcPr>
            <w:tcW w:type="dxa" w:w="720"/>
            <w:tcMar>
              <w:top w:w="85" w:type="dxa"/>
              <w:start w:w="95" w:type="dxa"/>
              <w:bottom w:w="85" w:type="dxa"/>
              <w:end w:w="95" w:type="dxa"/>
            </w:tcMar>
            <w:vAlign w:val="center"/>
          </w:tcPr>
          <w:p>
            <w:pPr>
              <w:spacing w:after="0" w:line="252" w:lineRule="auto"/>
              <w:jc w:val="left"/>
            </w:pPr>
            <w:r>
              <w:rPr>
                <w:rFonts w:ascii="Arial" w:hAnsi="Arial"/>
                <w:color w:val="000000"/>
                <w:sz w:val="15"/>
              </w:rPr>
              <w:t>H195</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Oyam</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5"/>
              </w:rPr>
              <w:t>Acokara Health Centre III</w:t>
            </w:r>
          </w:p>
        </w:tc>
        <w:tc>
          <w:tcPr>
            <w:tcW w:type="dxa" w:w="4680"/>
            <w:tcMar>
              <w:top w:w="85" w:type="dxa"/>
              <w:start w:w="95" w:type="dxa"/>
              <w:bottom w:w="85" w:type="dxa"/>
              <w:end w:w="95" w:type="dxa"/>
            </w:tcMar>
            <w:vAlign w:val="center"/>
          </w:tcPr>
          <w:p>
            <w:pPr>
              <w:spacing w:after="0" w:line="252" w:lineRule="auto"/>
              <w:jc w:val="left"/>
            </w:pPr>
            <w:r>
              <w:rPr>
                <w:rFonts w:ascii="Arial" w:hAnsi="Arial"/>
                <w:color w:val="000000"/>
                <w:sz w:val="15"/>
              </w:rPr>
              <w:t>The revised Oyam decision confirms that Acokara is not among the six upgraded UgIFT Health Centre IIIs and retains the earlier report that it does not exist.</w:t>
            </w:r>
          </w:p>
        </w:tc>
      </w:tr>
      <w:tr>
        <w:trPr>
          <w:cantSplit/>
        </w:trPr>
        <w:tc>
          <w:tcPr>
            <w:tcW w:type="dxa" w:w="72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H200</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Oyam</w:t>
            </w:r>
          </w:p>
        </w:tc>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Ariba Health Centre III</w:t>
            </w:r>
          </w:p>
        </w:tc>
        <w:tc>
          <w:tcPr>
            <w:tcW w:type="dxa" w:w="46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The revised Oyam decision confirms that Ariba is not among the six upgraded UgIFT Health Centre IIIs and retains the earlier report that it does not exist.</w:t>
            </w:r>
          </w:p>
        </w:tc>
      </w:tr>
      <w:tr>
        <w:trPr>
          <w:cantSplit/>
        </w:trPr>
        <w:tc>
          <w:tcPr>
            <w:tcW w:type="dxa" w:w="720"/>
            <w:tcMar>
              <w:top w:w="85" w:type="dxa"/>
              <w:start w:w="95" w:type="dxa"/>
              <w:bottom w:w="85" w:type="dxa"/>
              <w:end w:w="95" w:type="dxa"/>
            </w:tcMar>
            <w:vAlign w:val="center"/>
          </w:tcPr>
          <w:p>
            <w:pPr>
              <w:spacing w:after="0" w:line="252" w:lineRule="auto"/>
              <w:jc w:val="left"/>
            </w:pPr>
            <w:r>
              <w:rPr>
                <w:rFonts w:ascii="Arial" w:hAnsi="Arial"/>
                <w:color w:val="000000"/>
                <w:sz w:val="15"/>
              </w:rPr>
              <w:t>H070</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Busia MC</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5"/>
              </w:rPr>
              <w:t>Busia Eastern Division Health Centre III</w:t>
            </w:r>
          </w:p>
        </w:tc>
        <w:tc>
          <w:tcPr>
            <w:tcW w:type="dxa" w:w="4680"/>
            <w:tcMar>
              <w:top w:w="85" w:type="dxa"/>
              <w:start w:w="95" w:type="dxa"/>
              <w:bottom w:w="85" w:type="dxa"/>
              <w:end w:w="95" w:type="dxa"/>
            </w:tcMar>
            <w:vAlign w:val="center"/>
          </w:tcPr>
          <w:p>
            <w:pPr>
              <w:spacing w:after="0" w:line="252" w:lineRule="auto"/>
              <w:jc w:val="left"/>
            </w:pPr>
            <w:r>
              <w:rPr>
                <w:rFonts w:ascii="Arial" w:hAnsi="Arial"/>
                <w:color w:val="000000"/>
                <w:sz w:val="15"/>
              </w:rPr>
              <w:t>Does not exist. Sofia Health Centre III is a separately named field return in Eastern Division and is not treated as an alias for this invalid master label.</w:t>
            </w:r>
          </w:p>
        </w:tc>
      </w:tr>
      <w:tr>
        <w:trPr>
          <w:cantSplit/>
        </w:trPr>
        <w:tc>
          <w:tcPr>
            <w:tcW w:type="dxa" w:w="72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S010</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Tororo MC</w:t>
            </w:r>
          </w:p>
        </w:tc>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Eastern Division Seed Secondary School</w:t>
            </w:r>
          </w:p>
        </w:tc>
        <w:tc>
          <w:tcPr>
            <w:tcW w:type="dxa" w:w="46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Does not exist. The source master classifies this row as a school. Preserve the source type while marking the named master entry invalid.</w:t>
            </w:r>
          </w:p>
        </w:tc>
      </w:tr>
    </w:tbl>
    <w:p>
      <w:pPr>
        <w:spacing w:after="20" w:before="0"/>
      </w:pPr>
    </w:p>
    <w:p>
      <w:pPr>
        <w:pStyle w:val="Heading2"/>
        <w:keepNext/>
      </w:pPr>
      <w:r>
        <w:rPr>
          <w:rFonts w:ascii="Arial" w:hAnsi="Arial"/>
        </w:rPr>
        <w:t>Facilities found in returns but not confirmed on the list</w:t>
      </w:r>
    </w:p>
    <w:p>
      <w:r>
        <w:rPr>
          <w:rFonts w:ascii="Arial" w:hAnsi="Arial"/>
        </w:rPr>
        <w:t>There are 37 ground-return identities without a confirmed master match. Some may be spelling variants, district errors or facilities outside the original scope. They should be confirmed one by one before being added to the master or merged with an existing facility.</w:t>
      </w:r>
    </w:p>
    <w:p>
      <w:r>
        <w:rPr>
          <w:rFonts w:ascii="Arial" w:hAnsi="Arial"/>
        </w:rPr>
        <w:t>The full list appears in Appendix A, grouped by local government.</w:t>
      </w:r>
    </w:p>
    <w:p>
      <w:pPr>
        <w:pStyle w:val="Heading2"/>
        <w:keepNext/>
      </w:pPr>
      <w:r>
        <w:rPr>
          <w:rFonts w:ascii="Arial" w:hAnsi="Arial"/>
        </w:rPr>
        <w:t>Assets moved to another facility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1080"/>
            <w:shd w:fill="17365D"/>
            <w:tcMar>
              <w:top w:w="105" w:type="dxa"/>
              <w:start w:w="95" w:type="dxa"/>
              <w:bottom w:w="105" w:type="dxa"/>
              <w:end w:w="95" w:type="dxa"/>
            </w:tcMar>
            <w:vAlign w:val="center"/>
          </w:tcPr>
          <w:p>
            <w:pPr>
              <w:spacing w:after="0"/>
              <w:jc w:val="left"/>
            </w:pPr>
            <w:r>
              <w:rPr>
                <w:rFonts w:ascii="Arial" w:hAnsi="Arial"/>
                <w:b/>
                <w:color w:val="FFFFFF"/>
                <w:sz w:val="16"/>
              </w:rPr>
              <w:t>LG</w:t>
            </w:r>
          </w:p>
        </w:tc>
        <w:tc>
          <w:tcPr>
            <w:tcW w:type="dxa" w:w="2880"/>
            <w:shd w:fill="17365D"/>
            <w:tcMar>
              <w:top w:w="105" w:type="dxa"/>
              <w:start w:w="95" w:type="dxa"/>
              <w:bottom w:w="105" w:type="dxa"/>
              <w:end w:w="95" w:type="dxa"/>
            </w:tcMar>
            <w:vAlign w:val="center"/>
          </w:tcPr>
          <w:p>
            <w:pPr>
              <w:spacing w:after="0"/>
              <w:jc w:val="left"/>
            </w:pPr>
            <w:r>
              <w:rPr>
                <w:rFonts w:ascii="Arial" w:hAnsi="Arial"/>
                <w:b/>
                <w:color w:val="FFFFFF"/>
                <w:sz w:val="16"/>
              </w:rPr>
              <w:t>Listed or sending facility</w:t>
            </w:r>
          </w:p>
        </w:tc>
        <w:tc>
          <w:tcPr>
            <w:tcW w:type="dxa" w:w="2592"/>
            <w:shd w:fill="17365D"/>
            <w:tcMar>
              <w:top w:w="105" w:type="dxa"/>
              <w:start w:w="95" w:type="dxa"/>
              <w:bottom w:w="105" w:type="dxa"/>
              <w:end w:w="95" w:type="dxa"/>
            </w:tcMar>
            <w:vAlign w:val="center"/>
          </w:tcPr>
          <w:p>
            <w:pPr>
              <w:spacing w:after="0"/>
              <w:jc w:val="left"/>
            </w:pPr>
            <w:r>
              <w:rPr>
                <w:rFonts w:ascii="Arial" w:hAnsi="Arial"/>
                <w:b/>
                <w:color w:val="FFFFFF"/>
                <w:sz w:val="16"/>
              </w:rPr>
              <w:t>Receiving facility</w:t>
            </w:r>
          </w:p>
        </w:tc>
        <w:tc>
          <w:tcPr>
            <w:tcW w:type="dxa" w:w="3528"/>
            <w:shd w:fill="17365D"/>
            <w:tcMar>
              <w:top w:w="105" w:type="dxa"/>
              <w:start w:w="95" w:type="dxa"/>
              <w:bottom w:w="105" w:type="dxa"/>
              <w:end w:w="95" w:type="dxa"/>
            </w:tcMar>
            <w:vAlign w:val="center"/>
          </w:tcPr>
          <w:p>
            <w:pPr>
              <w:spacing w:after="0"/>
              <w:jc w:val="left"/>
            </w:pPr>
            <w:r>
              <w:rPr>
                <w:rFonts w:ascii="Arial" w:hAnsi="Arial"/>
                <w:b/>
                <w:color w:val="FFFFFF"/>
                <w:sz w:val="16"/>
              </w:rPr>
              <w:t>Required treatment</w:t>
            </w:r>
          </w:p>
        </w:tc>
      </w:tr>
      <w:tr>
        <w:trPr>
          <w:cantSplit/>
        </w:trPr>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Zombo</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6"/>
              </w:rPr>
              <w:t>Alangi Health Centre III</w:t>
            </w:r>
          </w:p>
        </w:tc>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Amwonyo Health Centre III</w:t>
            </w:r>
          </w:p>
        </w:tc>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6"/>
              </w:rPr>
              <w:t>Assets relocated; source facility remains on the master with no assets.</w:t>
            </w:r>
          </w:p>
        </w:tc>
      </w:tr>
      <w:tr>
        <w:trPr>
          <w:cantSplit/>
        </w:trPr>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Zombo</w:t>
            </w:r>
          </w:p>
        </w:tc>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Ther-uru Health Centre III</w:t>
            </w:r>
          </w:p>
        </w:tc>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Atyak Health Centre III</w:t>
            </w:r>
          </w:p>
        </w:tc>
        <w:tc>
          <w:tcPr>
            <w:tcW w:type="dxa" w:w="35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Assets relocated; source facility remains on the master with no assets.</w:t>
            </w:r>
          </w:p>
        </w:tc>
      </w:tr>
      <w:tr>
        <w:trPr>
          <w:cantSplit/>
        </w:trPr>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Zombo</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6"/>
              </w:rPr>
              <w:t>Abanga Seed Secondary School</w:t>
            </w:r>
          </w:p>
        </w:tc>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Kango Seed Secondary School</w:t>
            </w:r>
          </w:p>
        </w:tc>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6"/>
              </w:rPr>
              <w:t>Assets relocated; source facility remains on the master with no assets.</w:t>
            </w:r>
          </w:p>
        </w:tc>
      </w:tr>
      <w:tr>
        <w:trPr>
          <w:cantSplit/>
        </w:trPr>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Nebbi</w:t>
            </w:r>
          </w:p>
        </w:tc>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Oweko Health Centre III</w:t>
            </w:r>
          </w:p>
        </w:tc>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Pamaka Health Centre III</w:t>
            </w:r>
          </w:p>
        </w:tc>
        <w:tc>
          <w:tcPr>
            <w:tcW w:type="dxa" w:w="35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Facility replaced; evidence retained under Pamaka.</w:t>
            </w:r>
          </w:p>
        </w:tc>
      </w:tr>
      <w:tr>
        <w:trPr>
          <w:cantSplit/>
        </w:trPr>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Maracha</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6"/>
              </w:rPr>
              <w:t>Loinya Health Centre III</w:t>
            </w:r>
          </w:p>
        </w:tc>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Liko Health Centre III</w:t>
            </w:r>
          </w:p>
        </w:tc>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6"/>
              </w:rPr>
              <w:t>Replacement already has its own master entry; count Liko once.</w:t>
            </w:r>
          </w:p>
        </w:tc>
      </w:tr>
    </w:tbl>
    <w:p>
      <w:pPr>
        <w:spacing w:after="20" w:before="0"/>
      </w:pPr>
    </w:p>
    <w:p>
      <w:r>
        <w:rPr>
          <w:rFonts w:ascii="Arial" w:hAnsi="Arial"/>
        </w:rPr>
        <w:t>For each movement, the register should record the sending facility, receiving facility, date, transfer authority, current custodian and asset identifiers. A change of location should not erase the original acquisition trail.</w:t>
      </w:r>
    </w:p>
    <w:p>
      <w:pPr>
        <w:pStyle w:val="Heading2"/>
        <w:keepNext/>
      </w:pPr>
      <w:r>
        <w:rPr>
          <w:rFonts w:ascii="Arial" w:hAnsi="Arial"/>
        </w:rPr>
        <w:t>Assets shared among facilities</w:t>
      </w:r>
    </w:p>
    <w:p>
      <w:r>
        <w:rPr>
          <w:rFonts w:ascii="Arial" w:hAnsi="Arial"/>
        </w:rPr>
        <w:t>The consolidated source text does not provide a reliable asset-level count of items shared between facilities. Shared documents and shared group tags do appear, but they are not evidence that the physical assets were jointly used. Future verification should capture the owning facility, host facility, borrowing facility, approval reference, date moved and expected return date for every shared item.</w:t>
      </w:r>
    </w:p>
    <w:p>
      <w:r>
        <w:rPr>
          <w:rFonts w:ascii="Arial" w:hAnsi="Arial"/>
        </w:rPr>
        <w:br w:type="page"/>
      </w:r>
    </w:p>
    <w:p>
      <w:pPr>
        <w:pStyle w:val="Heading1"/>
        <w:keepNext/>
      </w:pPr>
      <w:r>
        <w:rPr>
          <w:rFonts w:ascii="Arial" w:hAnsi="Arial"/>
        </w:rPr>
        <w:t>Asset profile by local government and facility</w:t>
      </w:r>
    </w:p>
    <w:p>
      <w:r>
        <w:rPr>
          <w:rFonts w:ascii="Arial" w:hAnsi="Arial"/>
        </w:rPr>
        <w:t>The working register contains 163,498 asset rows against 522 standardized facility names and 149 book-type codes. The tables below show where the largest volumes sit. A high count can reflect more detailed source records rather than more assets in reality, so these figures should be used for workload planning, not performance ranking.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5616"/>
            <w:shd w:fill="17365D"/>
            <w:tcMar>
              <w:top w:w="105" w:type="dxa"/>
              <w:start w:w="95" w:type="dxa"/>
              <w:bottom w:w="105" w:type="dxa"/>
              <w:end w:w="95" w:type="dxa"/>
            </w:tcMar>
            <w:vAlign w:val="center"/>
          </w:tcPr>
          <w:p>
            <w:pPr>
              <w:spacing w:after="0"/>
              <w:jc w:val="left"/>
            </w:pPr>
            <w:r>
              <w:rPr>
                <w:rFonts w:ascii="Arial" w:hAnsi="Arial"/>
                <w:b/>
                <w:color w:val="FFFFFF"/>
                <w:sz w:val="17"/>
              </w:rPr>
              <w:t>Local government or book</w:t>
            </w:r>
          </w:p>
        </w:tc>
        <w:tc>
          <w:tcPr>
            <w:tcW w:type="dxa" w:w="2232"/>
            <w:shd w:fill="17365D"/>
            <w:tcMar>
              <w:top w:w="105" w:type="dxa"/>
              <w:start w:w="95" w:type="dxa"/>
              <w:bottom w:w="105" w:type="dxa"/>
              <w:end w:w="95" w:type="dxa"/>
            </w:tcMar>
            <w:vAlign w:val="center"/>
          </w:tcPr>
          <w:p>
            <w:pPr>
              <w:spacing w:after="0"/>
              <w:jc w:val="left"/>
            </w:pPr>
            <w:r>
              <w:rPr>
                <w:rFonts w:ascii="Arial" w:hAnsi="Arial"/>
                <w:b/>
                <w:color w:val="FFFFFF"/>
                <w:sz w:val="17"/>
              </w:rPr>
              <w:t>Asset records</w:t>
            </w:r>
          </w:p>
        </w:tc>
        <w:tc>
          <w:tcPr>
            <w:tcW w:type="dxa" w:w="2232"/>
            <w:shd w:fill="17365D"/>
            <w:tcMar>
              <w:top w:w="105" w:type="dxa"/>
              <w:start w:w="95" w:type="dxa"/>
              <w:bottom w:w="105" w:type="dxa"/>
              <w:end w:w="95" w:type="dxa"/>
            </w:tcMar>
            <w:vAlign w:val="center"/>
          </w:tcPr>
          <w:p>
            <w:pPr>
              <w:spacing w:after="0"/>
              <w:jc w:val="left"/>
            </w:pPr>
            <w:r>
              <w:rPr>
                <w:rFonts w:ascii="Arial" w:hAnsi="Arial"/>
                <w:b/>
                <w:color w:val="FFFFFF"/>
                <w:sz w:val="17"/>
              </w:rPr>
              <w:t>Share</w:t>
            </w:r>
          </w:p>
        </w:tc>
      </w:tr>
      <w:tr>
        <w:trPr>
          <w:cantSplit/>
        </w:trPr>
        <w:tc>
          <w:tcPr>
            <w:tcW w:type="dxa" w:w="5616"/>
            <w:tcMar>
              <w:top w:w="85" w:type="dxa"/>
              <w:start w:w="95" w:type="dxa"/>
              <w:bottom w:w="85" w:type="dxa"/>
              <w:end w:w="95" w:type="dxa"/>
            </w:tcMar>
            <w:vAlign w:val="center"/>
          </w:tcPr>
          <w:p>
            <w:pPr>
              <w:spacing w:after="0" w:line="252" w:lineRule="auto"/>
              <w:jc w:val="left"/>
            </w:pPr>
            <w:r>
              <w:rPr>
                <w:rFonts w:ascii="Arial" w:hAnsi="Arial"/>
                <w:color w:val="000000"/>
                <w:sz w:val="17"/>
              </w:rPr>
              <w:t>Tororo</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8,918</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5.5%</w:t>
            </w:r>
          </w:p>
        </w:tc>
      </w:tr>
      <w:tr>
        <w:trPr>
          <w:cantSplit/>
        </w:trPr>
        <w:tc>
          <w:tcPr>
            <w:tcW w:type="dxa" w:w="561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Tororo Mc</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4,909</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3.0%</w:t>
            </w:r>
          </w:p>
        </w:tc>
      </w:tr>
      <w:tr>
        <w:trPr>
          <w:cantSplit/>
        </w:trPr>
        <w:tc>
          <w:tcPr>
            <w:tcW w:type="dxa" w:w="5616"/>
            <w:tcMar>
              <w:top w:w="85" w:type="dxa"/>
              <w:start w:w="95" w:type="dxa"/>
              <w:bottom w:w="85" w:type="dxa"/>
              <w:end w:w="95" w:type="dxa"/>
            </w:tcMar>
            <w:vAlign w:val="center"/>
          </w:tcPr>
          <w:p>
            <w:pPr>
              <w:spacing w:after="0" w:line="252" w:lineRule="auto"/>
              <w:jc w:val="left"/>
            </w:pPr>
            <w:r>
              <w:rPr>
                <w:rFonts w:ascii="Arial" w:hAnsi="Arial"/>
                <w:color w:val="000000"/>
                <w:sz w:val="17"/>
              </w:rPr>
              <w:t>Pallisa</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3,917</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2.4%</w:t>
            </w:r>
          </w:p>
        </w:tc>
      </w:tr>
      <w:tr>
        <w:trPr>
          <w:cantSplit/>
        </w:trPr>
        <w:tc>
          <w:tcPr>
            <w:tcW w:type="dxa" w:w="561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Luweero</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3,036</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1.9%</w:t>
            </w:r>
          </w:p>
        </w:tc>
      </w:tr>
      <w:tr>
        <w:trPr>
          <w:cantSplit/>
        </w:trPr>
        <w:tc>
          <w:tcPr>
            <w:tcW w:type="dxa" w:w="5616"/>
            <w:tcMar>
              <w:top w:w="85" w:type="dxa"/>
              <w:start w:w="95" w:type="dxa"/>
              <w:bottom w:w="85" w:type="dxa"/>
              <w:end w:w="95" w:type="dxa"/>
            </w:tcMar>
            <w:vAlign w:val="center"/>
          </w:tcPr>
          <w:p>
            <w:pPr>
              <w:spacing w:after="0" w:line="252" w:lineRule="auto"/>
              <w:jc w:val="left"/>
            </w:pPr>
            <w:r>
              <w:rPr>
                <w:rFonts w:ascii="Arial" w:hAnsi="Arial"/>
                <w:color w:val="000000"/>
                <w:sz w:val="17"/>
              </w:rPr>
              <w:t>Amolatar</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3,027</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1.9%</w:t>
            </w:r>
          </w:p>
        </w:tc>
      </w:tr>
      <w:tr>
        <w:trPr>
          <w:cantSplit/>
        </w:trPr>
        <w:tc>
          <w:tcPr>
            <w:tcW w:type="dxa" w:w="561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Kiryandongo</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2,885</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1.8%</w:t>
            </w:r>
          </w:p>
        </w:tc>
      </w:tr>
      <w:tr>
        <w:trPr>
          <w:cantSplit/>
        </w:trPr>
        <w:tc>
          <w:tcPr>
            <w:tcW w:type="dxa" w:w="5616"/>
            <w:tcMar>
              <w:top w:w="85" w:type="dxa"/>
              <w:start w:w="95" w:type="dxa"/>
              <w:bottom w:w="85" w:type="dxa"/>
              <w:end w:w="95" w:type="dxa"/>
            </w:tcMar>
            <w:vAlign w:val="center"/>
          </w:tcPr>
          <w:p>
            <w:pPr>
              <w:spacing w:after="0" w:line="252" w:lineRule="auto"/>
              <w:jc w:val="left"/>
            </w:pPr>
            <w:r>
              <w:rPr>
                <w:rFonts w:ascii="Arial" w:hAnsi="Arial"/>
                <w:color w:val="000000"/>
                <w:sz w:val="17"/>
              </w:rPr>
              <w:t>Yumbe</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2,823</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1.7%</w:t>
            </w:r>
          </w:p>
        </w:tc>
      </w:tr>
      <w:tr>
        <w:trPr>
          <w:cantSplit/>
        </w:trPr>
        <w:tc>
          <w:tcPr>
            <w:tcW w:type="dxa" w:w="561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Bukedea</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2,715</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1.7%</w:t>
            </w:r>
          </w:p>
        </w:tc>
      </w:tr>
      <w:tr>
        <w:trPr>
          <w:cantSplit/>
        </w:trPr>
        <w:tc>
          <w:tcPr>
            <w:tcW w:type="dxa" w:w="5616"/>
            <w:tcMar>
              <w:top w:w="85" w:type="dxa"/>
              <w:start w:w="95" w:type="dxa"/>
              <w:bottom w:w="85" w:type="dxa"/>
              <w:end w:w="95" w:type="dxa"/>
            </w:tcMar>
            <w:vAlign w:val="center"/>
          </w:tcPr>
          <w:p>
            <w:pPr>
              <w:spacing w:after="0" w:line="252" w:lineRule="auto"/>
              <w:jc w:val="left"/>
            </w:pPr>
            <w:r>
              <w:rPr>
                <w:rFonts w:ascii="Arial" w:hAnsi="Arial"/>
                <w:color w:val="000000"/>
                <w:sz w:val="17"/>
              </w:rPr>
              <w:t>Zombo</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2,710</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1.7%</w:t>
            </w:r>
          </w:p>
        </w:tc>
      </w:tr>
      <w:tr>
        <w:trPr>
          <w:cantSplit/>
        </w:trPr>
        <w:tc>
          <w:tcPr>
            <w:tcW w:type="dxa" w:w="561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Dokolo</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2,646</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1.6%</w:t>
            </w:r>
          </w:p>
        </w:tc>
      </w:tr>
    </w:tbl>
    <w:p>
      <w:pPr>
        <w:spacing w:after="20" w:before="0"/>
      </w:pP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6623"/>
            <w:shd w:fill="17365D"/>
            <w:tcMar>
              <w:top w:w="105" w:type="dxa"/>
              <w:start w:w="95" w:type="dxa"/>
              <w:bottom w:w="105" w:type="dxa"/>
              <w:end w:w="95" w:type="dxa"/>
            </w:tcMar>
            <w:vAlign w:val="center"/>
          </w:tcPr>
          <w:p>
            <w:pPr>
              <w:spacing w:after="0"/>
              <w:jc w:val="left"/>
            </w:pPr>
            <w:r>
              <w:rPr>
                <w:rFonts w:ascii="Arial" w:hAnsi="Arial"/>
                <w:b/>
                <w:color w:val="FFFFFF"/>
                <w:sz w:val="16"/>
              </w:rPr>
              <w:t>Facility</w:t>
            </w:r>
          </w:p>
        </w:tc>
        <w:tc>
          <w:tcPr>
            <w:tcW w:type="dxa" w:w="1728"/>
            <w:shd w:fill="17365D"/>
            <w:tcMar>
              <w:top w:w="105" w:type="dxa"/>
              <w:start w:w="95" w:type="dxa"/>
              <w:bottom w:w="105" w:type="dxa"/>
              <w:end w:w="95" w:type="dxa"/>
            </w:tcMar>
            <w:vAlign w:val="center"/>
          </w:tcPr>
          <w:p>
            <w:pPr>
              <w:spacing w:after="0"/>
              <w:jc w:val="left"/>
            </w:pPr>
            <w:r>
              <w:rPr>
                <w:rFonts w:ascii="Arial" w:hAnsi="Arial"/>
                <w:b/>
                <w:color w:val="FFFFFF"/>
                <w:sz w:val="16"/>
              </w:rPr>
              <w:t>Asset records</w:t>
            </w:r>
          </w:p>
        </w:tc>
        <w:tc>
          <w:tcPr>
            <w:tcW w:type="dxa" w:w="1728"/>
            <w:shd w:fill="17365D"/>
            <w:tcMar>
              <w:top w:w="105" w:type="dxa"/>
              <w:start w:w="95" w:type="dxa"/>
              <w:bottom w:w="105" w:type="dxa"/>
              <w:end w:w="95" w:type="dxa"/>
            </w:tcMar>
            <w:vAlign w:val="center"/>
          </w:tcPr>
          <w:p>
            <w:pPr>
              <w:spacing w:after="0"/>
              <w:jc w:val="left"/>
            </w:pPr>
            <w:r>
              <w:rPr>
                <w:rFonts w:ascii="Arial" w:hAnsi="Arial"/>
                <w:b/>
                <w:color w:val="FFFFFF"/>
                <w:sz w:val="16"/>
              </w:rPr>
              <w:t>Share</w:t>
            </w:r>
          </w:p>
        </w:tc>
      </w:tr>
      <w:tr>
        <w:trPr>
          <w:cantSplit/>
        </w:trPr>
        <w:tc>
          <w:tcPr>
            <w:tcW w:type="dxa" w:w="6623"/>
            <w:tcMar>
              <w:top w:w="85" w:type="dxa"/>
              <w:start w:w="95" w:type="dxa"/>
              <w:bottom w:w="85" w:type="dxa"/>
              <w:end w:w="95" w:type="dxa"/>
            </w:tcMar>
            <w:vAlign w:val="center"/>
          </w:tcPr>
          <w:p>
            <w:pPr>
              <w:spacing w:after="0" w:line="252" w:lineRule="auto"/>
              <w:jc w:val="left"/>
            </w:pPr>
            <w:r>
              <w:rPr>
                <w:rFonts w:ascii="Arial" w:hAnsi="Arial"/>
                <w:color w:val="000000"/>
                <w:sz w:val="16"/>
              </w:rPr>
              <w:t>Kyamwinula Health Centre III</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4,909</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3.0%</w:t>
            </w:r>
          </w:p>
        </w:tc>
      </w:tr>
      <w:tr>
        <w:trPr>
          <w:cantSplit/>
        </w:trPr>
        <w:tc>
          <w:tcPr>
            <w:tcW w:type="dxa" w:w="6623"/>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Iyolwa Seed Secondary School</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3,637</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2.2%</w:t>
            </w:r>
          </w:p>
        </w:tc>
      </w:tr>
      <w:tr>
        <w:trPr>
          <w:cantSplit/>
        </w:trPr>
        <w:tc>
          <w:tcPr>
            <w:tcW w:type="dxa" w:w="6623"/>
            <w:tcMar>
              <w:top w:w="85" w:type="dxa"/>
              <w:start w:w="95" w:type="dxa"/>
              <w:bottom w:w="85" w:type="dxa"/>
              <w:end w:w="95" w:type="dxa"/>
            </w:tcMar>
            <w:vAlign w:val="center"/>
          </w:tcPr>
          <w:p>
            <w:pPr>
              <w:spacing w:after="0" w:line="252" w:lineRule="auto"/>
              <w:jc w:val="left"/>
            </w:pPr>
            <w:r>
              <w:rPr>
                <w:rFonts w:ascii="Arial" w:hAnsi="Arial"/>
                <w:color w:val="000000"/>
                <w:sz w:val="16"/>
              </w:rPr>
              <w:t>Sop Sop Seed Secondary School</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3,255</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2.0%</w:t>
            </w:r>
          </w:p>
        </w:tc>
      </w:tr>
      <w:tr>
        <w:trPr>
          <w:cantSplit/>
        </w:trPr>
        <w:tc>
          <w:tcPr>
            <w:tcW w:type="dxa" w:w="6623"/>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Luwube Muslim Seed Secondary School</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2,051</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1.3%</w:t>
            </w:r>
          </w:p>
        </w:tc>
      </w:tr>
      <w:tr>
        <w:trPr>
          <w:cantSplit/>
        </w:trPr>
        <w:tc>
          <w:tcPr>
            <w:tcW w:type="dxa" w:w="6623"/>
            <w:tcMar>
              <w:top w:w="85" w:type="dxa"/>
              <w:start w:w="95" w:type="dxa"/>
              <w:bottom w:w="85" w:type="dxa"/>
              <w:end w:w="95" w:type="dxa"/>
            </w:tcMar>
            <w:vAlign w:val="center"/>
          </w:tcPr>
          <w:p>
            <w:pPr>
              <w:spacing w:after="0" w:line="252" w:lineRule="auto"/>
              <w:jc w:val="left"/>
            </w:pPr>
            <w:r>
              <w:rPr>
                <w:rFonts w:ascii="Arial" w:hAnsi="Arial"/>
                <w:color w:val="000000"/>
                <w:sz w:val="16"/>
              </w:rPr>
              <w:t>Kabarwa Seed Secondary School</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2,015</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1.2%</w:t>
            </w:r>
          </w:p>
        </w:tc>
      </w:tr>
      <w:tr>
        <w:trPr>
          <w:cantSplit/>
        </w:trPr>
        <w:tc>
          <w:tcPr>
            <w:tcW w:type="dxa" w:w="6623"/>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Akadot Seed Secondary School</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2,005</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1.2%</w:t>
            </w:r>
          </w:p>
        </w:tc>
      </w:tr>
      <w:tr>
        <w:trPr>
          <w:cantSplit/>
        </w:trPr>
        <w:tc>
          <w:tcPr>
            <w:tcW w:type="dxa" w:w="6623"/>
            <w:tcMar>
              <w:top w:w="85" w:type="dxa"/>
              <w:start w:w="95" w:type="dxa"/>
              <w:bottom w:w="85" w:type="dxa"/>
              <w:end w:w="95" w:type="dxa"/>
            </w:tcMar>
            <w:vAlign w:val="center"/>
          </w:tcPr>
          <w:p>
            <w:pPr>
              <w:spacing w:after="0" w:line="252" w:lineRule="auto"/>
              <w:jc w:val="left"/>
            </w:pPr>
            <w:r>
              <w:rPr>
                <w:rFonts w:ascii="Arial" w:hAnsi="Arial"/>
                <w:color w:val="000000"/>
                <w:sz w:val="16"/>
              </w:rPr>
              <w:t>Lwamata Town Council Seed Secondary School</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1,994</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1.2%</w:t>
            </w:r>
          </w:p>
        </w:tc>
      </w:tr>
      <w:tr>
        <w:trPr>
          <w:cantSplit/>
        </w:trPr>
        <w:tc>
          <w:tcPr>
            <w:tcW w:type="dxa" w:w="6623"/>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Kitwara Seed Secondary School</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1,960</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1.2%</w:t>
            </w:r>
          </w:p>
        </w:tc>
      </w:tr>
      <w:tr>
        <w:trPr>
          <w:cantSplit/>
        </w:trPr>
        <w:tc>
          <w:tcPr>
            <w:tcW w:type="dxa" w:w="6623"/>
            <w:tcMar>
              <w:top w:w="85" w:type="dxa"/>
              <w:start w:w="95" w:type="dxa"/>
              <w:bottom w:w="85" w:type="dxa"/>
              <w:end w:w="95" w:type="dxa"/>
            </w:tcMar>
            <w:vAlign w:val="center"/>
          </w:tcPr>
          <w:p>
            <w:pPr>
              <w:spacing w:after="0" w:line="252" w:lineRule="auto"/>
              <w:jc w:val="left"/>
            </w:pPr>
            <w:r>
              <w:rPr>
                <w:rFonts w:ascii="Arial" w:hAnsi="Arial"/>
                <w:color w:val="000000"/>
                <w:sz w:val="16"/>
              </w:rPr>
              <w:t>Olok Seed Secondary School</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1,912</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1.2%</w:t>
            </w:r>
          </w:p>
        </w:tc>
      </w:tr>
      <w:tr>
        <w:trPr>
          <w:cantSplit/>
        </w:trPr>
        <w:tc>
          <w:tcPr>
            <w:tcW w:type="dxa" w:w="6623"/>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Napak Seed Secondary School</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1,532</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0.9%</w:t>
            </w:r>
          </w:p>
        </w:tc>
      </w:tr>
    </w:tbl>
    <w:p>
      <w:pPr>
        <w:spacing w:after="20" w:before="0"/>
      </w:pPr>
    </w:p>
    <w:p>
      <w:r>
        <w:rPr>
          <w:rFonts w:ascii="Arial" w:hAnsi="Arial"/>
        </w:rPr>
        <w:t>Every detailed register row retains the facility name and book code, allowing the complete dataset to be filtered by local government, facility, asset category and source reference. The Word report focuses on material exceptions and data quality rather than repeating all 163,498 rows.</w:t>
      </w:r>
    </w:p>
    <w:p>
      <w:r>
        <w:rPr>
          <w:rFonts w:ascii="Arial" w:hAnsi="Arial"/>
        </w:rPr>
        <w:br w:type="page"/>
      </w:r>
    </w:p>
    <w:p>
      <w:pPr>
        <w:pStyle w:val="Heading1"/>
        <w:keepNext/>
      </w:pPr>
      <w:r>
        <w:rPr>
          <w:rFonts w:ascii="Arial" w:hAnsi="Arial"/>
        </w:rPr>
        <w:t>Functionality maintenance and use</w:t>
      </w:r>
    </w:p>
    <w:p>
      <w:r>
        <w:rPr>
          <w:rFonts w:ascii="Arial" w:hAnsi="Arial"/>
        </w:rPr>
        <w:t>Condition statements were not written in a single standard form. The source text was therefore screened into positive, negative, mixed and unclassified groups. This preserves the original meaning while showing where a site visit or item-by-item check is still required.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1944"/>
            <w:shd w:fill="17365D"/>
            <w:tcMar>
              <w:top w:w="105" w:type="dxa"/>
              <w:start w:w="95" w:type="dxa"/>
              <w:bottom w:w="105" w:type="dxa"/>
              <w:end w:w="95" w:type="dxa"/>
            </w:tcMar>
            <w:vAlign w:val="center"/>
          </w:tcPr>
          <w:p>
            <w:pPr>
              <w:spacing w:after="0"/>
              <w:jc w:val="left"/>
            </w:pPr>
            <w:r>
              <w:rPr>
                <w:rFonts w:ascii="Arial" w:hAnsi="Arial"/>
                <w:b/>
                <w:color w:val="FFFFFF"/>
                <w:sz w:val="16"/>
              </w:rPr>
              <w:t>Condition screen</w:t>
            </w:r>
          </w:p>
        </w:tc>
        <w:tc>
          <w:tcPr>
            <w:tcW w:type="dxa" w:w="1296"/>
            <w:shd w:fill="17365D"/>
            <w:tcMar>
              <w:top w:w="105" w:type="dxa"/>
              <w:start w:w="95" w:type="dxa"/>
              <w:bottom w:w="105" w:type="dxa"/>
              <w:end w:w="95" w:type="dxa"/>
            </w:tcMar>
            <w:vAlign w:val="center"/>
          </w:tcPr>
          <w:p>
            <w:pPr>
              <w:spacing w:after="0"/>
              <w:jc w:val="left"/>
            </w:pPr>
            <w:r>
              <w:rPr>
                <w:rFonts w:ascii="Arial" w:hAnsi="Arial"/>
                <w:b/>
                <w:color w:val="FFFFFF"/>
                <w:sz w:val="16"/>
              </w:rPr>
              <w:t>Records</w:t>
            </w:r>
          </w:p>
        </w:tc>
        <w:tc>
          <w:tcPr>
            <w:tcW w:type="dxa" w:w="1080"/>
            <w:shd w:fill="17365D"/>
            <w:tcMar>
              <w:top w:w="105" w:type="dxa"/>
              <w:start w:w="95" w:type="dxa"/>
              <w:bottom w:w="105" w:type="dxa"/>
              <w:end w:w="95" w:type="dxa"/>
            </w:tcMar>
            <w:vAlign w:val="center"/>
          </w:tcPr>
          <w:p>
            <w:pPr>
              <w:spacing w:after="0"/>
              <w:jc w:val="left"/>
            </w:pPr>
            <w:r>
              <w:rPr>
                <w:rFonts w:ascii="Arial" w:hAnsi="Arial"/>
                <w:b/>
                <w:color w:val="FFFFFF"/>
                <w:sz w:val="16"/>
              </w:rPr>
              <w:t>Share</w:t>
            </w:r>
          </w:p>
        </w:tc>
        <w:tc>
          <w:tcPr>
            <w:tcW w:type="dxa" w:w="5760"/>
            <w:shd w:fill="17365D"/>
            <w:tcMar>
              <w:top w:w="105" w:type="dxa"/>
              <w:start w:w="95" w:type="dxa"/>
              <w:bottom w:w="105" w:type="dxa"/>
              <w:end w:w="95" w:type="dxa"/>
            </w:tcMar>
            <w:vAlign w:val="center"/>
          </w:tcPr>
          <w:p>
            <w:pPr>
              <w:spacing w:after="0"/>
              <w:jc w:val="left"/>
            </w:pPr>
            <w:r>
              <w:rPr>
                <w:rFonts w:ascii="Arial" w:hAnsi="Arial"/>
                <w:b/>
                <w:color w:val="FFFFFF"/>
                <w:sz w:val="16"/>
              </w:rPr>
              <w:t>Meaning</w:t>
            </w:r>
          </w:p>
        </w:tc>
      </w:tr>
      <w:tr>
        <w:trPr>
          <w:cantSplit/>
        </w:trP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6"/>
              </w:rPr>
              <w:t>Positive only</w:t>
            </w:r>
          </w:p>
        </w:tc>
        <w:tc>
          <w:tcPr>
            <w:tcW w:type="dxa" w:w="1296"/>
            <w:tcMar>
              <w:top w:w="85" w:type="dxa"/>
              <w:start w:w="95" w:type="dxa"/>
              <w:bottom w:w="85" w:type="dxa"/>
              <w:end w:w="95" w:type="dxa"/>
            </w:tcMar>
            <w:vAlign w:val="center"/>
          </w:tcPr>
          <w:p>
            <w:pPr>
              <w:spacing w:after="0" w:line="252" w:lineRule="auto"/>
              <w:jc w:val="left"/>
            </w:pPr>
            <w:r>
              <w:rPr>
                <w:rFonts w:ascii="Arial" w:hAnsi="Arial"/>
                <w:color w:val="000000"/>
                <w:sz w:val="16"/>
              </w:rPr>
              <w:t>112,037</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68.5%</w:t>
            </w:r>
          </w:p>
        </w:tc>
        <w:tc>
          <w:tcPr>
            <w:tcW w:type="dxa" w:w="5760"/>
            <w:tcMar>
              <w:top w:w="85" w:type="dxa"/>
              <w:start w:w="95" w:type="dxa"/>
              <w:bottom w:w="85" w:type="dxa"/>
              <w:end w:w="95" w:type="dxa"/>
            </w:tcMar>
            <w:vAlign w:val="center"/>
          </w:tcPr>
          <w:p>
            <w:pPr>
              <w:spacing w:after="0" w:line="252" w:lineRule="auto"/>
              <w:jc w:val="left"/>
            </w:pPr>
            <w:r>
              <w:rPr>
                <w:rFonts w:ascii="Arial" w:hAnsi="Arial"/>
                <w:color w:val="000000"/>
                <w:sz w:val="16"/>
              </w:rPr>
              <w:t>Wording indicates functional, working, operational, in use or good working condition.</w:t>
            </w:r>
          </w:p>
        </w:tc>
      </w:tr>
      <w:tr>
        <w:trPr>
          <w:cantSplit/>
        </w:trP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Negative only</w:t>
            </w:r>
          </w:p>
        </w:tc>
        <w:tc>
          <w:tcPr>
            <w:tcW w:type="dxa" w:w="1296"/>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2,915</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1.8%</w:t>
            </w:r>
          </w:p>
        </w:tc>
        <w:tc>
          <w:tcPr>
            <w:tcW w:type="dxa" w:w="576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Wording indicates broken, faulty, damaged, non-functional or needing repair.</w:t>
            </w:r>
          </w:p>
        </w:tc>
      </w:tr>
      <w:tr>
        <w:trPr>
          <w:cantSplit/>
        </w:trP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6"/>
              </w:rPr>
              <w:t>Mixed group</w:t>
            </w:r>
          </w:p>
        </w:tc>
        <w:tc>
          <w:tcPr>
            <w:tcW w:type="dxa" w:w="1296"/>
            <w:tcMar>
              <w:top w:w="85" w:type="dxa"/>
              <w:start w:w="95" w:type="dxa"/>
              <w:bottom w:w="85" w:type="dxa"/>
              <w:end w:w="95" w:type="dxa"/>
            </w:tcMar>
            <w:vAlign w:val="center"/>
          </w:tcPr>
          <w:p>
            <w:pPr>
              <w:spacing w:after="0" w:line="252" w:lineRule="auto"/>
              <w:jc w:val="left"/>
            </w:pPr>
            <w:r>
              <w:rPr>
                <w:rFonts w:ascii="Arial" w:hAnsi="Arial"/>
                <w:color w:val="000000"/>
                <w:sz w:val="16"/>
              </w:rPr>
              <w:t>14,061</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8.6%</w:t>
            </w:r>
          </w:p>
        </w:tc>
        <w:tc>
          <w:tcPr>
            <w:tcW w:type="dxa" w:w="5760"/>
            <w:tcMar>
              <w:top w:w="85" w:type="dxa"/>
              <w:start w:w="95" w:type="dxa"/>
              <w:bottom w:w="85" w:type="dxa"/>
              <w:end w:w="95" w:type="dxa"/>
            </w:tcMar>
            <w:vAlign w:val="center"/>
          </w:tcPr>
          <w:p>
            <w:pPr>
              <w:spacing w:after="0" w:line="252" w:lineRule="auto"/>
              <w:jc w:val="left"/>
            </w:pPr>
            <w:r>
              <w:rPr>
                <w:rFonts w:ascii="Arial" w:hAnsi="Arial"/>
                <w:color w:val="000000"/>
                <w:sz w:val="16"/>
              </w:rPr>
              <w:t>The same source line describes both usable and unusable units; individual attribution is not safe.</w:t>
            </w:r>
          </w:p>
        </w:tc>
      </w:tr>
      <w:tr>
        <w:trPr>
          <w:cantSplit/>
        </w:trP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Not classified</w:t>
            </w:r>
          </w:p>
        </w:tc>
        <w:tc>
          <w:tcPr>
            <w:tcW w:type="dxa" w:w="1296"/>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34,485</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21.1%</w:t>
            </w:r>
          </w:p>
        </w:tc>
        <w:tc>
          <w:tcPr>
            <w:tcW w:type="dxa" w:w="576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No clear positive or negative wording was found.</w:t>
            </w:r>
          </w:p>
        </w:tc>
      </w:tr>
    </w:tbl>
    <w:p>
      <w:pPr>
        <w:spacing w:after="20" w:before="0"/>
      </w:pPr>
    </w:p>
    <w:p>
      <w:r>
        <w:rPr>
          <w:rFonts w:ascii="Arial" w:hAnsi="Arial"/>
        </w:rPr>
        <w:t>The formal IN_USE_FLAG is more conservative: 55,347 records are marked YES, 7,221 are marked NO and 100,930 are blank. Good condition alone was not used to infer current use.</w:t>
      </w:r>
    </w:p>
    <w:p>
      <w:pPr>
        <w:pStyle w:val="Heading2"/>
        <w:keepNext/>
      </w:pPr>
      <w:r>
        <w:rPr>
          <w:rFonts w:ascii="Arial" w:hAnsi="Arial"/>
        </w:rPr>
        <w:t>Assets still boxed stored or not yet used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3168"/>
            <w:shd w:fill="17365D"/>
            <w:tcMar>
              <w:top w:w="105" w:type="dxa"/>
              <w:start w:w="95" w:type="dxa"/>
              <w:bottom w:w="105" w:type="dxa"/>
              <w:end w:w="95" w:type="dxa"/>
            </w:tcMar>
            <w:vAlign w:val="center"/>
          </w:tcPr>
          <w:p>
            <w:pPr>
              <w:spacing w:after="0"/>
              <w:jc w:val="left"/>
            </w:pPr>
            <w:r>
              <w:rPr>
                <w:rFonts w:ascii="Arial" w:hAnsi="Arial"/>
                <w:b/>
                <w:color w:val="FFFFFF"/>
                <w:sz w:val="16"/>
              </w:rPr>
              <w:t>Screen</w:t>
            </w:r>
          </w:p>
        </w:tc>
        <w:tc>
          <w:tcPr>
            <w:tcW w:type="dxa" w:w="1440"/>
            <w:shd w:fill="17365D"/>
            <w:tcMar>
              <w:top w:w="105" w:type="dxa"/>
              <w:start w:w="95" w:type="dxa"/>
              <w:bottom w:w="105" w:type="dxa"/>
              <w:end w:w="95" w:type="dxa"/>
            </w:tcMar>
            <w:vAlign w:val="center"/>
          </w:tcPr>
          <w:p>
            <w:pPr>
              <w:spacing w:after="0"/>
              <w:jc w:val="left"/>
            </w:pPr>
            <w:r>
              <w:rPr>
                <w:rFonts w:ascii="Arial" w:hAnsi="Arial"/>
                <w:b/>
                <w:color w:val="FFFFFF"/>
                <w:sz w:val="16"/>
              </w:rPr>
              <w:t>Asset records</w:t>
            </w:r>
          </w:p>
        </w:tc>
        <w:tc>
          <w:tcPr>
            <w:tcW w:type="dxa" w:w="1440"/>
            <w:shd w:fill="17365D"/>
            <w:tcMar>
              <w:top w:w="105" w:type="dxa"/>
              <w:start w:w="95" w:type="dxa"/>
              <w:bottom w:w="105" w:type="dxa"/>
              <w:end w:w="95" w:type="dxa"/>
            </w:tcMar>
            <w:vAlign w:val="center"/>
          </w:tcPr>
          <w:p>
            <w:pPr>
              <w:spacing w:after="0"/>
              <w:jc w:val="left"/>
            </w:pPr>
            <w:r>
              <w:rPr>
                <w:rFonts w:ascii="Arial" w:hAnsi="Arial"/>
                <w:b/>
                <w:color w:val="FFFFFF"/>
                <w:sz w:val="16"/>
              </w:rPr>
              <w:t>Source records</w:t>
            </w:r>
          </w:p>
        </w:tc>
        <w:tc>
          <w:tcPr>
            <w:tcW w:type="dxa" w:w="4031"/>
            <w:shd w:fill="17365D"/>
            <w:tcMar>
              <w:top w:w="105" w:type="dxa"/>
              <w:start w:w="95" w:type="dxa"/>
              <w:bottom w:w="105" w:type="dxa"/>
              <w:end w:w="95" w:type="dxa"/>
            </w:tcMar>
            <w:vAlign w:val="center"/>
          </w:tcPr>
          <w:p>
            <w:pPr>
              <w:spacing w:after="0"/>
              <w:jc w:val="left"/>
            </w:pPr>
            <w:r>
              <w:rPr>
                <w:rFonts w:ascii="Arial" w:hAnsi="Arial"/>
                <w:b/>
                <w:color w:val="FFFFFF"/>
                <w:sz w:val="16"/>
              </w:rPr>
              <w:t>Follow up</w:t>
            </w:r>
          </w:p>
        </w:tc>
      </w:tr>
      <w:tr>
        <w:trPr>
          <w:cantSplit/>
        </w:trPr>
        <w:tc>
          <w:tcPr>
            <w:tcW w:type="dxa" w:w="3168"/>
            <w:tcMar>
              <w:top w:w="85" w:type="dxa"/>
              <w:start w:w="95" w:type="dxa"/>
              <w:bottom w:w="85" w:type="dxa"/>
              <w:end w:w="95" w:type="dxa"/>
            </w:tcMar>
            <w:vAlign w:val="center"/>
          </w:tcPr>
          <w:p>
            <w:pPr>
              <w:spacing w:after="0" w:line="252" w:lineRule="auto"/>
              <w:jc w:val="left"/>
            </w:pPr>
            <w:r>
              <w:rPr>
                <w:rFonts w:ascii="Arial" w:hAnsi="Arial"/>
                <w:color w:val="000000"/>
                <w:sz w:val="16"/>
              </w:rPr>
              <w:t>Box or unopened wording</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6"/>
              </w:rPr>
              <w:t>1,265</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6"/>
              </w:rPr>
              <w:t>228</w:t>
            </w:r>
          </w:p>
        </w:tc>
        <w:tc>
          <w:tcPr>
            <w:tcW w:type="dxa" w:w="4031"/>
            <w:tcMar>
              <w:top w:w="85" w:type="dxa"/>
              <w:start w:w="95" w:type="dxa"/>
              <w:bottom w:w="85" w:type="dxa"/>
              <w:end w:w="95" w:type="dxa"/>
            </w:tcMar>
            <w:vAlign w:val="center"/>
          </w:tcPr>
          <w:p>
            <w:pPr>
              <w:spacing w:after="0" w:line="252" w:lineRule="auto"/>
              <w:jc w:val="left"/>
            </w:pPr>
            <w:r>
              <w:rPr>
                <w:rFonts w:ascii="Arial" w:hAnsi="Arial"/>
                <w:color w:val="000000"/>
                <w:sz w:val="16"/>
              </w:rPr>
              <w:t>Inspect packaging, warranty, completeness and installation requirements.</w:t>
            </w:r>
          </w:p>
        </w:tc>
      </w:tr>
      <w:tr>
        <w:trPr>
          <w:cantSplit/>
        </w:trPr>
        <w:tc>
          <w:tcPr>
            <w:tcW w:type="dxa" w:w="316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Stored wording</w:t>
            </w:r>
          </w:p>
        </w:tc>
        <w:tc>
          <w:tcPr>
            <w:tcW w:type="dxa" w:w="144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6,148</w:t>
            </w:r>
          </w:p>
        </w:tc>
        <w:tc>
          <w:tcPr>
            <w:tcW w:type="dxa" w:w="144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2,082</w:t>
            </w:r>
          </w:p>
        </w:tc>
        <w:tc>
          <w:tcPr>
            <w:tcW w:type="dxa" w:w="4031"/>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Confirm whether storage is temporary, secure and appropriate for the asset.</w:t>
            </w:r>
          </w:p>
        </w:tc>
      </w:tr>
      <w:tr>
        <w:trPr>
          <w:cantSplit/>
        </w:trPr>
        <w:tc>
          <w:tcPr>
            <w:tcW w:type="dxa" w:w="3168"/>
            <w:tcMar>
              <w:top w:w="85" w:type="dxa"/>
              <w:start w:w="95" w:type="dxa"/>
              <w:bottom w:w="85" w:type="dxa"/>
              <w:end w:w="95" w:type="dxa"/>
            </w:tcMar>
            <w:vAlign w:val="center"/>
          </w:tcPr>
          <w:p>
            <w:pPr>
              <w:spacing w:after="0" w:line="252" w:lineRule="auto"/>
              <w:jc w:val="left"/>
            </w:pPr>
            <w:r>
              <w:rPr>
                <w:rFonts w:ascii="Arial" w:hAnsi="Arial"/>
                <w:color w:val="000000"/>
                <w:sz w:val="16"/>
              </w:rPr>
              <w:t>Not yet used installed assembled or commissioned</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6"/>
              </w:rPr>
              <w:t>6,713</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6"/>
              </w:rPr>
              <w:t>1,421</w:t>
            </w:r>
          </w:p>
        </w:tc>
        <w:tc>
          <w:tcPr>
            <w:tcW w:type="dxa" w:w="4031"/>
            <w:tcMar>
              <w:top w:w="85" w:type="dxa"/>
              <w:start w:w="95" w:type="dxa"/>
              <w:bottom w:w="85" w:type="dxa"/>
              <w:end w:w="95" w:type="dxa"/>
            </w:tcMar>
            <w:vAlign w:val="center"/>
          </w:tcPr>
          <w:p>
            <w:pPr>
              <w:spacing w:after="0" w:line="252" w:lineRule="auto"/>
              <w:jc w:val="left"/>
            </w:pPr>
            <w:r>
              <w:rPr>
                <w:rFonts w:ascii="Arial" w:hAnsi="Arial"/>
                <w:color w:val="000000"/>
                <w:sz w:val="16"/>
              </w:rPr>
              <w:t>Record the blocker, responsible officer and target date for use.</w:t>
            </w:r>
          </w:p>
        </w:tc>
      </w:tr>
    </w:tbl>
    <w:p>
      <w:pPr>
        <w:spacing w:after="20" w:before="0"/>
      </w:pPr>
    </w:p>
    <w:p>
      <w:r>
        <w:rPr>
          <w:rFonts w:ascii="Arial" w:hAnsi="Arial"/>
        </w:rPr>
        <w:t>These screens overlap. An item can be both stored and still boxed. The figures identify records to review; they should not be added together to produce a unique asset count.</w:t>
      </w:r>
    </w:p>
    <w:p>
      <w:pPr>
        <w:pStyle w:val="Heading2"/>
        <w:keepNext/>
      </w:pPr>
      <w:r>
        <w:rPr>
          <w:rFonts w:ascii="Arial" w:hAnsi="Arial"/>
        </w:rPr>
        <w:t>Maintenance and service follow up</w:t>
      </w:r>
    </w:p>
    <w:p>
      <w:r>
        <w:rPr>
          <w:rFonts w:ascii="Arial" w:hAnsi="Arial"/>
        </w:rPr>
        <w:t>Sixty source records, representing 124 asset rows, contain explicit wording that repair, maintenance, servicing or spare parts are required. This is a minimum count because group notes do not always identify each affected unit.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304"/>
            <w:shd w:fill="17365D"/>
            <w:tcMar>
              <w:top w:w="105" w:type="dxa"/>
              <w:start w:w="95" w:type="dxa"/>
              <w:bottom w:w="105" w:type="dxa"/>
              <w:end w:w="95" w:type="dxa"/>
            </w:tcMar>
            <w:vAlign w:val="center"/>
          </w:tcPr>
          <w:p>
            <w:pPr>
              <w:spacing w:after="0"/>
              <w:jc w:val="left"/>
            </w:pPr>
            <w:r>
              <w:rPr>
                <w:rFonts w:ascii="Arial" w:hAnsi="Arial"/>
                <w:b/>
                <w:color w:val="FFFFFF"/>
                <w:sz w:val="17"/>
              </w:rPr>
              <w:t>Maintenance record</w:t>
            </w:r>
          </w:p>
        </w:tc>
        <w:tc>
          <w:tcPr>
            <w:tcW w:type="dxa" w:w="7776"/>
            <w:shd w:fill="17365D"/>
            <w:tcMar>
              <w:top w:w="105" w:type="dxa"/>
              <w:start w:w="95" w:type="dxa"/>
              <w:bottom w:w="105" w:type="dxa"/>
              <w:end w:w="95" w:type="dxa"/>
            </w:tcMar>
            <w:vAlign w:val="center"/>
          </w:tcPr>
          <w:p>
            <w:pPr>
              <w:spacing w:after="0"/>
              <w:jc w:val="left"/>
            </w:pPr>
            <w:r>
              <w:rPr>
                <w:rFonts w:ascii="Arial" w:hAnsi="Arial"/>
                <w:b/>
                <w:color w:val="FFFFFF"/>
                <w:sz w:val="17"/>
              </w:rPr>
              <w:t>Minimum information</w:t>
            </w:r>
          </w:p>
        </w:tc>
      </w:tr>
      <w:tr>
        <w:trPr>
          <w:cantSplit/>
        </w:trPr>
        <w:tc>
          <w:tcPr>
            <w:tcW w:type="dxa" w:w="2304"/>
            <w:tcMar>
              <w:top w:w="85" w:type="dxa"/>
              <w:start w:w="95" w:type="dxa"/>
              <w:bottom w:w="85" w:type="dxa"/>
              <w:end w:w="95" w:type="dxa"/>
            </w:tcMar>
            <w:vAlign w:val="center"/>
          </w:tcPr>
          <w:p>
            <w:pPr>
              <w:spacing w:after="0" w:line="252" w:lineRule="auto"/>
              <w:jc w:val="left"/>
            </w:pPr>
            <w:r>
              <w:rPr>
                <w:rFonts w:ascii="Arial" w:hAnsi="Arial"/>
                <w:color w:val="000000"/>
                <w:sz w:val="17"/>
              </w:rPr>
              <w:t>Asset identity</w:t>
            </w:r>
          </w:p>
        </w:tc>
        <w:tc>
          <w:tcPr>
            <w:tcW w:type="dxa" w:w="7776"/>
            <w:tcMar>
              <w:top w:w="85" w:type="dxa"/>
              <w:start w:w="95" w:type="dxa"/>
              <w:bottom w:w="85" w:type="dxa"/>
              <w:end w:w="95" w:type="dxa"/>
            </w:tcMar>
            <w:vAlign w:val="center"/>
          </w:tcPr>
          <w:p>
            <w:pPr>
              <w:spacing w:after="0" w:line="252" w:lineRule="auto"/>
              <w:jc w:val="left"/>
            </w:pPr>
            <w:r>
              <w:rPr>
                <w:rFonts w:ascii="Arial" w:hAnsi="Arial"/>
                <w:color w:val="000000"/>
                <w:sz w:val="17"/>
              </w:rPr>
              <w:t>Facility, asset description, tag or serial number and source reference</w:t>
            </w:r>
          </w:p>
        </w:tc>
      </w:tr>
      <w:tr>
        <w:trPr>
          <w:cantSplit/>
        </w:trPr>
        <w:tc>
          <w:tcPr>
            <w:tcW w:type="dxa" w:w="230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Problem</w:t>
            </w:r>
          </w:p>
        </w:tc>
        <w:tc>
          <w:tcPr>
            <w:tcW w:type="dxa" w:w="777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Fault observed, date reported, effect on service and whether the item is safe to use</w:t>
            </w:r>
          </w:p>
        </w:tc>
      </w:tr>
      <w:tr>
        <w:trPr>
          <w:cantSplit/>
        </w:trPr>
        <w:tc>
          <w:tcPr>
            <w:tcW w:type="dxa" w:w="2304"/>
            <w:tcMar>
              <w:top w:w="85" w:type="dxa"/>
              <w:start w:w="95" w:type="dxa"/>
              <w:bottom w:w="85" w:type="dxa"/>
              <w:end w:w="95" w:type="dxa"/>
            </w:tcMar>
            <w:vAlign w:val="center"/>
          </w:tcPr>
          <w:p>
            <w:pPr>
              <w:spacing w:after="0" w:line="252" w:lineRule="auto"/>
              <w:jc w:val="left"/>
            </w:pPr>
            <w:r>
              <w:rPr>
                <w:rFonts w:ascii="Arial" w:hAnsi="Arial"/>
                <w:color w:val="000000"/>
                <w:sz w:val="17"/>
              </w:rPr>
              <w:t>Action</w:t>
            </w:r>
          </w:p>
        </w:tc>
        <w:tc>
          <w:tcPr>
            <w:tcW w:type="dxa" w:w="7776"/>
            <w:tcMar>
              <w:top w:w="85" w:type="dxa"/>
              <w:start w:w="95" w:type="dxa"/>
              <w:bottom w:w="85" w:type="dxa"/>
              <w:end w:w="95" w:type="dxa"/>
            </w:tcMar>
            <w:vAlign w:val="center"/>
          </w:tcPr>
          <w:p>
            <w:pPr>
              <w:spacing w:after="0" w:line="252" w:lineRule="auto"/>
              <w:jc w:val="left"/>
            </w:pPr>
            <w:r>
              <w:rPr>
                <w:rFonts w:ascii="Arial" w:hAnsi="Arial"/>
                <w:color w:val="000000"/>
                <w:sz w:val="17"/>
              </w:rPr>
              <w:t>Repair, service, replacement, calibration or disposal decision</w:t>
            </w:r>
          </w:p>
        </w:tc>
      </w:tr>
      <w:tr>
        <w:trPr>
          <w:cantSplit/>
        </w:trPr>
        <w:tc>
          <w:tcPr>
            <w:tcW w:type="dxa" w:w="230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Control</w:t>
            </w:r>
          </w:p>
        </w:tc>
        <w:tc>
          <w:tcPr>
            <w:tcW w:type="dxa" w:w="777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Work-order number, responsible officer, provider, cost, completion date and acceptance</w:t>
            </w:r>
          </w:p>
        </w:tc>
      </w:tr>
    </w:tbl>
    <w:p>
      <w:pPr>
        <w:spacing w:after="20" w:before="0"/>
      </w:pPr>
    </w:p>
    <w:p>
      <w:r>
        <w:rPr>
          <w:rFonts w:ascii="Arial" w:hAnsi="Arial"/>
        </w:rPr>
        <w:br w:type="page"/>
      </w:r>
    </w:p>
    <w:p>
      <w:pPr>
        <w:pStyle w:val="Heading1"/>
        <w:keepNext/>
      </w:pPr>
      <w:r>
        <w:rPr>
          <w:rFonts w:ascii="Arial" w:hAnsi="Arial"/>
        </w:rPr>
        <w:t>Engraving identification and security</w:t>
      </w:r>
    </w:p>
    <w:p>
      <w:r>
        <w:rPr>
          <w:rFonts w:ascii="Arial" w:hAnsi="Arial"/>
        </w:rPr>
        <w:t>The current evidence is not strong enough to claim that the portfolio is properly engraved. Most records do not say whether a UGiFT mark is present. Tag numbers and serial numbers improve traceability, but they are reported separately because they do not prove that an ownership mark was physically engraved and easy to read.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2520"/>
            <w:shd w:fill="17365D"/>
            <w:tcMar>
              <w:top w:w="105" w:type="dxa"/>
              <w:start w:w="95" w:type="dxa"/>
              <w:bottom w:w="105" w:type="dxa"/>
              <w:end w:w="95" w:type="dxa"/>
            </w:tcMar>
            <w:vAlign w:val="center"/>
          </w:tcPr>
          <w:p>
            <w:pPr>
              <w:spacing w:after="0"/>
              <w:jc w:val="left"/>
            </w:pPr>
            <w:r>
              <w:rPr>
                <w:rFonts w:ascii="Arial" w:hAnsi="Arial"/>
                <w:b/>
                <w:color w:val="FFFFFF"/>
                <w:sz w:val="16"/>
              </w:rPr>
              <w:t>Evidence</w:t>
            </w:r>
          </w:p>
        </w:tc>
        <w:tc>
          <w:tcPr>
            <w:tcW w:type="dxa" w:w="1224"/>
            <w:shd w:fill="17365D"/>
            <w:tcMar>
              <w:top w:w="105" w:type="dxa"/>
              <w:start w:w="95" w:type="dxa"/>
              <w:bottom w:w="105" w:type="dxa"/>
              <w:end w:w="95" w:type="dxa"/>
            </w:tcMar>
            <w:vAlign w:val="center"/>
          </w:tcPr>
          <w:p>
            <w:pPr>
              <w:spacing w:after="0"/>
              <w:jc w:val="left"/>
            </w:pPr>
            <w:r>
              <w:rPr>
                <w:rFonts w:ascii="Arial" w:hAnsi="Arial"/>
                <w:b/>
                <w:color w:val="FFFFFF"/>
                <w:sz w:val="16"/>
              </w:rPr>
              <w:t>Records</w:t>
            </w:r>
          </w:p>
        </w:tc>
        <w:tc>
          <w:tcPr>
            <w:tcW w:type="dxa" w:w="1007"/>
            <w:shd w:fill="17365D"/>
            <w:tcMar>
              <w:top w:w="105" w:type="dxa"/>
              <w:start w:w="95" w:type="dxa"/>
              <w:bottom w:w="105" w:type="dxa"/>
              <w:end w:w="95" w:type="dxa"/>
            </w:tcMar>
            <w:vAlign w:val="center"/>
          </w:tcPr>
          <w:p>
            <w:pPr>
              <w:spacing w:after="0"/>
              <w:jc w:val="left"/>
            </w:pPr>
            <w:r>
              <w:rPr>
                <w:rFonts w:ascii="Arial" w:hAnsi="Arial"/>
                <w:b/>
                <w:color w:val="FFFFFF"/>
                <w:sz w:val="16"/>
              </w:rPr>
              <w:t>Share</w:t>
            </w:r>
          </w:p>
        </w:tc>
        <w:tc>
          <w:tcPr>
            <w:tcW w:type="dxa" w:w="5328"/>
            <w:shd w:fill="17365D"/>
            <w:tcMar>
              <w:top w:w="105" w:type="dxa"/>
              <w:start w:w="95" w:type="dxa"/>
              <w:bottom w:w="105" w:type="dxa"/>
              <w:end w:w="95" w:type="dxa"/>
            </w:tcMar>
            <w:vAlign w:val="center"/>
          </w:tcPr>
          <w:p>
            <w:pPr>
              <w:spacing w:after="0"/>
              <w:jc w:val="left"/>
            </w:pPr>
            <w:r>
              <w:rPr>
                <w:rFonts w:ascii="Arial" w:hAnsi="Arial"/>
                <w:b/>
                <w:color w:val="FFFFFF"/>
                <w:sz w:val="16"/>
              </w:rPr>
              <w:t>Interpretation</w:t>
            </w:r>
          </w:p>
        </w:tc>
      </w:tr>
      <w:tr>
        <w:trPr>
          <w:cantSplit/>
        </w:trPr>
        <w:tc>
          <w:tcPr>
            <w:tcW w:type="dxa" w:w="2520"/>
            <w:tcMar>
              <w:top w:w="85" w:type="dxa"/>
              <w:start w:w="95" w:type="dxa"/>
              <w:bottom w:w="85" w:type="dxa"/>
              <w:end w:w="95" w:type="dxa"/>
            </w:tcMar>
            <w:vAlign w:val="center"/>
          </w:tcPr>
          <w:p>
            <w:pPr>
              <w:spacing w:after="0" w:line="252" w:lineRule="auto"/>
              <w:jc w:val="left"/>
            </w:pPr>
            <w:r>
              <w:rPr>
                <w:rFonts w:ascii="Arial" w:hAnsi="Arial"/>
                <w:color w:val="000000"/>
                <w:sz w:val="16"/>
              </w:rPr>
              <w:t>Explicit UGiFT marking</w:t>
            </w:r>
          </w:p>
        </w:tc>
        <w:tc>
          <w:tcPr>
            <w:tcW w:type="dxa" w:w="1224"/>
            <w:tcMar>
              <w:top w:w="85" w:type="dxa"/>
              <w:start w:w="95" w:type="dxa"/>
              <w:bottom w:w="85" w:type="dxa"/>
              <w:end w:w="95" w:type="dxa"/>
            </w:tcMar>
            <w:vAlign w:val="center"/>
          </w:tcPr>
          <w:p>
            <w:pPr>
              <w:spacing w:after="0" w:line="252" w:lineRule="auto"/>
              <w:jc w:val="left"/>
            </w:pPr>
            <w:r>
              <w:rPr>
                <w:rFonts w:ascii="Arial" w:hAnsi="Arial"/>
                <w:color w:val="000000"/>
                <w:sz w:val="16"/>
              </w:rPr>
              <w:t>14</w:t>
            </w:r>
          </w:p>
        </w:tc>
        <w:tc>
          <w:tcPr>
            <w:tcW w:type="dxa" w:w="1007"/>
            <w:tcMar>
              <w:top w:w="85" w:type="dxa"/>
              <w:start w:w="95" w:type="dxa"/>
              <w:bottom w:w="85" w:type="dxa"/>
              <w:end w:w="95" w:type="dxa"/>
            </w:tcMar>
            <w:vAlign w:val="center"/>
          </w:tcPr>
          <w:p>
            <w:pPr>
              <w:spacing w:after="0" w:line="252" w:lineRule="auto"/>
              <w:jc w:val="left"/>
            </w:pPr>
            <w:r>
              <w:rPr>
                <w:rFonts w:ascii="Arial" w:hAnsi="Arial"/>
                <w:color w:val="000000"/>
                <w:sz w:val="16"/>
              </w:rPr>
              <w:t>0.0%</w:t>
            </w:r>
          </w:p>
        </w:tc>
        <w:tc>
          <w:tcPr>
            <w:tcW w:type="dxa" w:w="5328"/>
            <w:tcMar>
              <w:top w:w="85" w:type="dxa"/>
              <w:start w:w="95" w:type="dxa"/>
              <w:bottom w:w="85" w:type="dxa"/>
              <w:end w:w="95" w:type="dxa"/>
            </w:tcMar>
            <w:vAlign w:val="center"/>
          </w:tcPr>
          <w:p>
            <w:pPr>
              <w:spacing w:after="0" w:line="252" w:lineRule="auto"/>
              <w:jc w:val="left"/>
            </w:pPr>
            <w:r>
              <w:rPr>
                <w:rFonts w:ascii="Arial" w:hAnsi="Arial"/>
                <w:color w:val="000000"/>
                <w:sz w:val="16"/>
              </w:rPr>
              <w:t>Five source lines representing 14 assets explicitly state a UGiFT engraving or label.</w:t>
            </w:r>
          </w:p>
        </w:tc>
      </w:tr>
      <w:tr>
        <w:trPr>
          <w:cantSplit/>
        </w:trPr>
        <w:tc>
          <w:tcPr>
            <w:tcW w:type="dxa" w:w="252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Engraved owner not stated</w:t>
            </w:r>
          </w:p>
        </w:tc>
        <w:tc>
          <w:tcPr>
            <w:tcW w:type="dxa" w:w="122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452</w:t>
            </w:r>
          </w:p>
        </w:tc>
        <w:tc>
          <w:tcPr>
            <w:tcW w:type="dxa" w:w="1007"/>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0.3%</w:t>
            </w:r>
          </w:p>
        </w:tc>
        <w:tc>
          <w:tcPr>
            <w:tcW w:type="dxa" w:w="53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The source says engraved, but does not establish that the mark identifies UGiFT.</w:t>
            </w:r>
          </w:p>
        </w:tc>
      </w:tr>
      <w:tr>
        <w:trPr>
          <w:cantSplit/>
        </w:trPr>
        <w:tc>
          <w:tcPr>
            <w:tcW w:type="dxa" w:w="2520"/>
            <w:tcMar>
              <w:top w:w="85" w:type="dxa"/>
              <w:start w:w="95" w:type="dxa"/>
              <w:bottom w:w="85" w:type="dxa"/>
              <w:end w:w="95" w:type="dxa"/>
            </w:tcMar>
            <w:vAlign w:val="center"/>
          </w:tcPr>
          <w:p>
            <w:pPr>
              <w:spacing w:after="0" w:line="252" w:lineRule="auto"/>
              <w:jc w:val="left"/>
            </w:pPr>
            <w:r>
              <w:rPr>
                <w:rFonts w:ascii="Arial" w:hAnsi="Arial"/>
                <w:color w:val="000000"/>
                <w:sz w:val="16"/>
              </w:rPr>
              <w:t>Explicitly not engraved</w:t>
            </w:r>
          </w:p>
        </w:tc>
        <w:tc>
          <w:tcPr>
            <w:tcW w:type="dxa" w:w="1224"/>
            <w:tcMar>
              <w:top w:w="85" w:type="dxa"/>
              <w:start w:w="95" w:type="dxa"/>
              <w:bottom w:w="85" w:type="dxa"/>
              <w:end w:w="95" w:type="dxa"/>
            </w:tcMar>
            <w:vAlign w:val="center"/>
          </w:tcPr>
          <w:p>
            <w:pPr>
              <w:spacing w:after="0" w:line="252" w:lineRule="auto"/>
              <w:jc w:val="left"/>
            </w:pPr>
            <w:r>
              <w:rPr>
                <w:rFonts w:ascii="Arial" w:hAnsi="Arial"/>
                <w:color w:val="000000"/>
                <w:sz w:val="16"/>
              </w:rPr>
              <w:t>4,419</w:t>
            </w:r>
          </w:p>
        </w:tc>
        <w:tc>
          <w:tcPr>
            <w:tcW w:type="dxa" w:w="1007"/>
            <w:tcMar>
              <w:top w:w="85" w:type="dxa"/>
              <w:start w:w="95" w:type="dxa"/>
              <w:bottom w:w="85" w:type="dxa"/>
              <w:end w:w="95" w:type="dxa"/>
            </w:tcMar>
            <w:vAlign w:val="center"/>
          </w:tcPr>
          <w:p>
            <w:pPr>
              <w:spacing w:after="0" w:line="252" w:lineRule="auto"/>
              <w:jc w:val="left"/>
            </w:pPr>
            <w:r>
              <w:rPr>
                <w:rFonts w:ascii="Arial" w:hAnsi="Arial"/>
                <w:color w:val="000000"/>
                <w:sz w:val="16"/>
              </w:rPr>
              <w:t>2.7%</w:t>
            </w:r>
          </w:p>
        </w:tc>
        <w:tc>
          <w:tcPr>
            <w:tcW w:type="dxa" w:w="5328"/>
            <w:tcMar>
              <w:top w:w="85" w:type="dxa"/>
              <w:start w:w="95" w:type="dxa"/>
              <w:bottom w:w="85" w:type="dxa"/>
              <w:end w:w="95" w:type="dxa"/>
            </w:tcMar>
            <w:vAlign w:val="center"/>
          </w:tcPr>
          <w:p>
            <w:pPr>
              <w:spacing w:after="0" w:line="252" w:lineRule="auto"/>
              <w:jc w:val="left"/>
            </w:pPr>
            <w:r>
              <w:rPr>
                <w:rFonts w:ascii="Arial" w:hAnsi="Arial"/>
                <w:color w:val="000000"/>
                <w:sz w:val="16"/>
              </w:rPr>
              <w:t>The source explicitly says the asset or group was not engraved.</w:t>
            </w:r>
          </w:p>
        </w:tc>
      </w:tr>
      <w:tr>
        <w:trPr>
          <w:cantSplit/>
        </w:trPr>
        <w:tc>
          <w:tcPr>
            <w:tcW w:type="dxa" w:w="252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Engraving not stated</w:t>
            </w:r>
          </w:p>
        </w:tc>
        <w:tc>
          <w:tcPr>
            <w:tcW w:type="dxa" w:w="122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158,613</w:t>
            </w:r>
          </w:p>
        </w:tc>
        <w:tc>
          <w:tcPr>
            <w:tcW w:type="dxa" w:w="1007"/>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97.0%</w:t>
            </w:r>
          </w:p>
        </w:tc>
        <w:tc>
          <w:tcPr>
            <w:tcW w:type="dxa" w:w="53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No reliable engraving statement was found.</w:t>
            </w:r>
          </w:p>
        </w:tc>
      </w:tr>
    </w:tbl>
    <w:p>
      <w:pPr>
        <w:spacing w:after="20" w:before="0"/>
      </w:pP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5472"/>
            <w:shd w:fill="17365D"/>
            <w:tcMar>
              <w:top w:w="105" w:type="dxa"/>
              <w:start w:w="95" w:type="dxa"/>
              <w:bottom w:w="105" w:type="dxa"/>
              <w:end w:w="95" w:type="dxa"/>
            </w:tcMar>
            <w:vAlign w:val="center"/>
          </w:tcPr>
          <w:p>
            <w:pPr>
              <w:spacing w:after="0"/>
              <w:jc w:val="left"/>
            </w:pPr>
            <w:r>
              <w:rPr>
                <w:rFonts w:ascii="Arial" w:hAnsi="Arial"/>
                <w:b/>
                <w:color w:val="FFFFFF"/>
                <w:sz w:val="17"/>
              </w:rPr>
              <w:t>Identification field</w:t>
            </w:r>
          </w:p>
        </w:tc>
        <w:tc>
          <w:tcPr>
            <w:tcW w:type="dxa" w:w="2304"/>
            <w:shd w:fill="17365D"/>
            <w:tcMar>
              <w:top w:w="105" w:type="dxa"/>
              <w:start w:w="95" w:type="dxa"/>
              <w:bottom w:w="105" w:type="dxa"/>
              <w:end w:w="95" w:type="dxa"/>
            </w:tcMar>
            <w:vAlign w:val="center"/>
          </w:tcPr>
          <w:p>
            <w:pPr>
              <w:spacing w:after="0"/>
              <w:jc w:val="left"/>
            </w:pPr>
            <w:r>
              <w:rPr>
                <w:rFonts w:ascii="Arial" w:hAnsi="Arial"/>
                <w:b/>
                <w:color w:val="FFFFFF"/>
                <w:sz w:val="17"/>
              </w:rPr>
              <w:t>Records</w:t>
            </w:r>
          </w:p>
        </w:tc>
        <w:tc>
          <w:tcPr>
            <w:tcW w:type="dxa" w:w="2304"/>
            <w:shd w:fill="17365D"/>
            <w:tcMar>
              <w:top w:w="105" w:type="dxa"/>
              <w:start w:w="95" w:type="dxa"/>
              <w:bottom w:w="105" w:type="dxa"/>
              <w:end w:w="95" w:type="dxa"/>
            </w:tcMar>
            <w:vAlign w:val="center"/>
          </w:tcPr>
          <w:p>
            <w:pPr>
              <w:spacing w:after="0"/>
              <w:jc w:val="left"/>
            </w:pPr>
            <w:r>
              <w:rPr>
                <w:rFonts w:ascii="Arial" w:hAnsi="Arial"/>
                <w:b/>
                <w:color w:val="FFFFFF"/>
                <w:sz w:val="17"/>
              </w:rPr>
              <w:t>Share</w:t>
            </w:r>
          </w:p>
        </w:tc>
      </w:tr>
      <w:tr>
        <w:trPr>
          <w:cantSplit/>
        </w:trPr>
        <w:tc>
          <w:tcPr>
            <w:tcW w:type="dxa" w:w="5472"/>
            <w:tcMar>
              <w:top w:w="85" w:type="dxa"/>
              <w:start w:w="95" w:type="dxa"/>
              <w:bottom w:w="85" w:type="dxa"/>
              <w:end w:w="95" w:type="dxa"/>
            </w:tcMar>
            <w:vAlign w:val="center"/>
          </w:tcPr>
          <w:p>
            <w:pPr>
              <w:spacing w:after="0" w:line="252" w:lineRule="auto"/>
              <w:jc w:val="left"/>
            </w:pPr>
            <w:r>
              <w:rPr>
                <w:rFonts w:ascii="Arial" w:hAnsi="Arial"/>
                <w:color w:val="000000"/>
                <w:sz w:val="17"/>
              </w:rPr>
              <w:t>Tag number present</w:t>
            </w:r>
          </w:p>
        </w:tc>
        <w:tc>
          <w:tcPr>
            <w:tcW w:type="dxa" w:w="2304"/>
            <w:tcMar>
              <w:top w:w="85" w:type="dxa"/>
              <w:start w:w="95" w:type="dxa"/>
              <w:bottom w:w="85" w:type="dxa"/>
              <w:end w:w="95" w:type="dxa"/>
            </w:tcMar>
            <w:vAlign w:val="center"/>
          </w:tcPr>
          <w:p>
            <w:pPr>
              <w:spacing w:after="0" w:line="252" w:lineRule="auto"/>
              <w:jc w:val="left"/>
            </w:pPr>
            <w:r>
              <w:rPr>
                <w:rFonts w:ascii="Arial" w:hAnsi="Arial"/>
                <w:color w:val="000000"/>
                <w:sz w:val="17"/>
              </w:rPr>
              <w:t>14,593</w:t>
            </w:r>
          </w:p>
        </w:tc>
        <w:tc>
          <w:tcPr>
            <w:tcW w:type="dxa" w:w="2304"/>
            <w:tcMar>
              <w:top w:w="85" w:type="dxa"/>
              <w:start w:w="95" w:type="dxa"/>
              <w:bottom w:w="85" w:type="dxa"/>
              <w:end w:w="95" w:type="dxa"/>
            </w:tcMar>
            <w:vAlign w:val="center"/>
          </w:tcPr>
          <w:p>
            <w:pPr>
              <w:spacing w:after="0" w:line="252" w:lineRule="auto"/>
              <w:jc w:val="left"/>
            </w:pPr>
            <w:r>
              <w:rPr>
                <w:rFonts w:ascii="Arial" w:hAnsi="Arial"/>
                <w:color w:val="000000"/>
                <w:sz w:val="17"/>
              </w:rPr>
              <w:t>8.9%</w:t>
            </w:r>
          </w:p>
        </w:tc>
      </w:tr>
      <w:tr>
        <w:trPr>
          <w:cantSplit/>
        </w:trPr>
        <w:tc>
          <w:tcPr>
            <w:tcW w:type="dxa" w:w="547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Tag number missing</w:t>
            </w:r>
          </w:p>
        </w:tc>
        <w:tc>
          <w:tcPr>
            <w:tcW w:type="dxa" w:w="230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148,905</w:t>
            </w:r>
          </w:p>
        </w:tc>
        <w:tc>
          <w:tcPr>
            <w:tcW w:type="dxa" w:w="230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91.1%</w:t>
            </w:r>
          </w:p>
        </w:tc>
      </w:tr>
      <w:tr>
        <w:trPr>
          <w:cantSplit/>
        </w:trPr>
        <w:tc>
          <w:tcPr>
            <w:tcW w:type="dxa" w:w="5472"/>
            <w:tcMar>
              <w:top w:w="85" w:type="dxa"/>
              <w:start w:w="95" w:type="dxa"/>
              <w:bottom w:w="85" w:type="dxa"/>
              <w:end w:w="95" w:type="dxa"/>
            </w:tcMar>
            <w:vAlign w:val="center"/>
          </w:tcPr>
          <w:p>
            <w:pPr>
              <w:spacing w:after="0" w:line="252" w:lineRule="auto"/>
              <w:jc w:val="left"/>
            </w:pPr>
            <w:r>
              <w:rPr>
                <w:rFonts w:ascii="Arial" w:hAnsi="Arial"/>
                <w:color w:val="000000"/>
                <w:sz w:val="17"/>
              </w:rPr>
              <w:t>Serial number present</w:t>
            </w:r>
          </w:p>
        </w:tc>
        <w:tc>
          <w:tcPr>
            <w:tcW w:type="dxa" w:w="2304"/>
            <w:tcMar>
              <w:top w:w="85" w:type="dxa"/>
              <w:start w:w="95" w:type="dxa"/>
              <w:bottom w:w="85" w:type="dxa"/>
              <w:end w:w="95" w:type="dxa"/>
            </w:tcMar>
            <w:vAlign w:val="center"/>
          </w:tcPr>
          <w:p>
            <w:pPr>
              <w:spacing w:after="0" w:line="252" w:lineRule="auto"/>
              <w:jc w:val="left"/>
            </w:pPr>
            <w:r>
              <w:rPr>
                <w:rFonts w:ascii="Arial" w:hAnsi="Arial"/>
                <w:color w:val="000000"/>
                <w:sz w:val="17"/>
              </w:rPr>
              <w:t>662</w:t>
            </w:r>
          </w:p>
        </w:tc>
        <w:tc>
          <w:tcPr>
            <w:tcW w:type="dxa" w:w="2304"/>
            <w:tcMar>
              <w:top w:w="85" w:type="dxa"/>
              <w:start w:w="95" w:type="dxa"/>
              <w:bottom w:w="85" w:type="dxa"/>
              <w:end w:w="95" w:type="dxa"/>
            </w:tcMar>
            <w:vAlign w:val="center"/>
          </w:tcPr>
          <w:p>
            <w:pPr>
              <w:spacing w:after="0" w:line="252" w:lineRule="auto"/>
              <w:jc w:val="left"/>
            </w:pPr>
            <w:r>
              <w:rPr>
                <w:rFonts w:ascii="Arial" w:hAnsi="Arial"/>
                <w:color w:val="000000"/>
                <w:sz w:val="17"/>
              </w:rPr>
              <w:t>0.4%</w:t>
            </w:r>
          </w:p>
        </w:tc>
      </w:tr>
      <w:tr>
        <w:trPr>
          <w:cantSplit/>
        </w:trPr>
        <w:tc>
          <w:tcPr>
            <w:tcW w:type="dxa" w:w="547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Serial number missing</w:t>
            </w:r>
          </w:p>
        </w:tc>
        <w:tc>
          <w:tcPr>
            <w:tcW w:type="dxa" w:w="230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162,836</w:t>
            </w:r>
          </w:p>
        </w:tc>
        <w:tc>
          <w:tcPr>
            <w:tcW w:type="dxa" w:w="230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99.6%</w:t>
            </w:r>
          </w:p>
        </w:tc>
      </w:tr>
    </w:tbl>
    <w:p>
      <w:pPr>
        <w:spacing w:after="20" w:before="0"/>
      </w:pPr>
    </w:p>
    <w:p>
      <w:r>
        <w:rPr>
          <w:rFonts w:ascii="Arial" w:hAnsi="Arial"/>
        </w:rPr>
        <w:t>A focused engraving check should record the exact visible wording, tag number, serial number, photograph reference, legibility and whether the mark is permanent. Where assets are grouped, the team should avoid applying one shared tag to several physical items.</w:t>
      </w:r>
    </w:p>
    <w:p>
      <w:pPr>
        <w:pStyle w:val="Heading2"/>
        <w:keepNext/>
      </w:pPr>
      <w:r>
        <w:rPr>
          <w:rFonts w:ascii="Arial" w:hAnsi="Arial"/>
        </w:rPr>
        <w:t>Security observations</w:t>
      </w:r>
    </w:p>
    <w:p>
      <w:r>
        <w:rPr>
          <w:rFonts w:ascii="Arial" w:hAnsi="Arial"/>
        </w:rPr>
        <w:t>The source screening found 121 source records with theft or break-in wording. Those records represent grouped lines covering 746 asset entries, but that is not a confirmed count of stolen units. A further 428 source records use missing, lost, not seen or not available wording, and 6 explicitly mention a security-control gap such as a missing fence or lock.</w:t>
      </w:r>
    </w:p>
    <w:p>
      <w:r>
        <w:rPr>
          <w:rFonts w:ascii="Arial" w:hAnsi="Arial"/>
        </w:rPr>
        <w:t>Security follow-up should distinguish theft, temporary movement, non-delivery and an item that could not be seen during the visit. For theft cases, retain the police reference, date, responsible custodian, insurance position and management action.</w:t>
      </w:r>
    </w:p>
    <w:p>
      <w:r>
        <w:rPr>
          <w:rFonts w:ascii="Arial" w:hAnsi="Arial"/>
        </w:rPr>
        <w:br w:type="page"/>
      </w:r>
    </w:p>
    <w:p>
      <w:pPr>
        <w:pStyle w:val="Heading1"/>
        <w:keepNext/>
      </w:pPr>
      <w:r>
        <w:rPr>
          <w:rFonts w:ascii="Arial" w:hAnsi="Arial"/>
        </w:rPr>
        <w:t>Asset registers and data quality</w:t>
      </w:r>
    </w:p>
    <w:p>
      <w:r>
        <w:rPr>
          <w:rFonts w:ascii="Arial" w:hAnsi="Arial"/>
        </w:rPr>
        <w:t>The prepared workbook is strong as a reconciliation register: every retained row has a standardized facility name, description and major category. It is much weaker as a complete accounting, maintenance and custody register because most rows do not have cost, service date, current-use status, tag or serial number.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3528"/>
            <w:shd w:fill="17365D"/>
            <w:tcMar>
              <w:top w:w="105" w:type="dxa"/>
              <w:start w:w="95" w:type="dxa"/>
              <w:bottom w:w="105" w:type="dxa"/>
              <w:end w:w="95" w:type="dxa"/>
            </w:tcMar>
            <w:vAlign w:val="center"/>
          </w:tcPr>
          <w:p>
            <w:pPr>
              <w:spacing w:after="0"/>
              <w:jc w:val="left"/>
            </w:pPr>
            <w:r>
              <w:rPr>
                <w:rFonts w:ascii="Arial" w:hAnsi="Arial"/>
                <w:b/>
                <w:color w:val="FFFFFF"/>
                <w:sz w:val="17"/>
              </w:rPr>
              <w:t>Field</w:t>
            </w:r>
          </w:p>
        </w:tc>
        <w:tc>
          <w:tcPr>
            <w:tcW w:type="dxa" w:w="1655"/>
            <w:shd w:fill="17365D"/>
            <w:tcMar>
              <w:top w:w="105" w:type="dxa"/>
              <w:start w:w="95" w:type="dxa"/>
              <w:bottom w:w="105" w:type="dxa"/>
              <w:end w:w="95" w:type="dxa"/>
            </w:tcMar>
            <w:vAlign w:val="center"/>
          </w:tcPr>
          <w:p>
            <w:pPr>
              <w:spacing w:after="0"/>
              <w:jc w:val="left"/>
            </w:pPr>
            <w:r>
              <w:rPr>
                <w:rFonts w:ascii="Arial" w:hAnsi="Arial"/>
                <w:b/>
                <w:color w:val="FFFFFF"/>
                <w:sz w:val="17"/>
              </w:rPr>
              <w:t>Completed</w:t>
            </w:r>
          </w:p>
        </w:tc>
        <w:tc>
          <w:tcPr>
            <w:tcW w:type="dxa" w:w="1584"/>
            <w:shd w:fill="17365D"/>
            <w:tcMar>
              <w:top w:w="105" w:type="dxa"/>
              <w:start w:w="95" w:type="dxa"/>
              <w:bottom w:w="105" w:type="dxa"/>
              <w:end w:w="95" w:type="dxa"/>
            </w:tcMar>
            <w:vAlign w:val="center"/>
          </w:tcPr>
          <w:p>
            <w:pPr>
              <w:spacing w:after="0"/>
              <w:jc w:val="left"/>
            </w:pPr>
            <w:r>
              <w:rPr>
                <w:rFonts w:ascii="Arial" w:hAnsi="Arial"/>
                <w:b/>
                <w:color w:val="FFFFFF"/>
                <w:sz w:val="17"/>
              </w:rPr>
              <w:t>Coverage</w:t>
            </w:r>
          </w:p>
        </w:tc>
        <w:tc>
          <w:tcPr>
            <w:tcW w:type="dxa" w:w="3311"/>
            <w:shd w:fill="17365D"/>
            <w:tcMar>
              <w:top w:w="105" w:type="dxa"/>
              <w:start w:w="95" w:type="dxa"/>
              <w:bottom w:w="105" w:type="dxa"/>
              <w:end w:w="95" w:type="dxa"/>
            </w:tcMar>
            <w:vAlign w:val="center"/>
          </w:tcPr>
          <w:p>
            <w:pPr>
              <w:spacing w:after="0"/>
              <w:jc w:val="left"/>
            </w:pPr>
            <w:r>
              <w:rPr>
                <w:rFonts w:ascii="Arial" w:hAnsi="Arial"/>
                <w:b/>
                <w:color w:val="FFFFFF"/>
                <w:sz w:val="17"/>
              </w:rPr>
              <w:t>Assessment</w:t>
            </w:r>
          </w:p>
        </w:tc>
      </w:tr>
      <w:tr>
        <w:trPr>
          <w:cantSplit/>
        </w:trPr>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7"/>
              </w:rPr>
              <w:t>Facility name</w:t>
            </w:r>
          </w:p>
        </w:tc>
        <w:tc>
          <w:tcPr>
            <w:tcW w:type="dxa" w:w="1655"/>
            <w:tcMar>
              <w:top w:w="85" w:type="dxa"/>
              <w:start w:w="95" w:type="dxa"/>
              <w:bottom w:w="85" w:type="dxa"/>
              <w:end w:w="95" w:type="dxa"/>
            </w:tcMar>
            <w:vAlign w:val="center"/>
          </w:tcPr>
          <w:p>
            <w:pPr>
              <w:spacing w:after="0" w:line="252" w:lineRule="auto"/>
              <w:jc w:val="left"/>
            </w:pPr>
            <w:r>
              <w:rPr>
                <w:rFonts w:ascii="Arial" w:hAnsi="Arial"/>
                <w:color w:val="000000"/>
                <w:sz w:val="17"/>
              </w:rPr>
              <w:t>163,498</w:t>
            </w:r>
          </w:p>
        </w:tc>
        <w:tc>
          <w:tcPr>
            <w:tcW w:type="dxa" w:w="1584"/>
            <w:tcMar>
              <w:top w:w="85" w:type="dxa"/>
              <w:start w:w="95" w:type="dxa"/>
              <w:bottom w:w="85" w:type="dxa"/>
              <w:end w:w="95" w:type="dxa"/>
            </w:tcMar>
            <w:vAlign w:val="center"/>
          </w:tcPr>
          <w:p>
            <w:pPr>
              <w:spacing w:after="0" w:line="252" w:lineRule="auto"/>
              <w:jc w:val="left"/>
            </w:pPr>
            <w:r>
              <w:rPr>
                <w:rFonts w:ascii="Arial" w:hAnsi="Arial"/>
                <w:color w:val="000000"/>
                <w:sz w:val="17"/>
              </w:rPr>
              <w:t>100.0%</w:t>
            </w:r>
          </w:p>
        </w:tc>
        <w:tc>
          <w:tcPr>
            <w:tcW w:type="dxa" w:w="3311"/>
            <w:tcMar>
              <w:top w:w="85" w:type="dxa"/>
              <w:start w:w="95" w:type="dxa"/>
              <w:bottom w:w="85" w:type="dxa"/>
              <w:end w:w="95" w:type="dxa"/>
            </w:tcMar>
            <w:vAlign w:val="center"/>
          </w:tcPr>
          <w:p>
            <w:pPr>
              <w:spacing w:after="0" w:line="252" w:lineRule="auto"/>
              <w:jc w:val="left"/>
            </w:pPr>
            <w:r>
              <w:rPr>
                <w:rFonts w:ascii="Arial" w:hAnsi="Arial"/>
                <w:color w:val="000000"/>
                <w:sz w:val="17"/>
              </w:rPr>
              <w:t>Strong</w:t>
            </w:r>
          </w:p>
        </w:tc>
      </w:tr>
      <w:tr>
        <w:trPr>
          <w:cantSplit/>
        </w:trPr>
        <w:tc>
          <w:tcPr>
            <w:tcW w:type="dxa" w:w="352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Description</w:t>
            </w:r>
          </w:p>
        </w:tc>
        <w:tc>
          <w:tcPr>
            <w:tcW w:type="dxa" w:w="1655"/>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163,498</w:t>
            </w:r>
          </w:p>
        </w:tc>
        <w:tc>
          <w:tcPr>
            <w:tcW w:type="dxa" w:w="158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100.0%</w:t>
            </w:r>
          </w:p>
        </w:tc>
        <w:tc>
          <w:tcPr>
            <w:tcW w:type="dxa" w:w="3311"/>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Strong</w:t>
            </w:r>
          </w:p>
        </w:tc>
      </w:tr>
      <w:tr>
        <w:trPr>
          <w:cantSplit/>
        </w:trPr>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7"/>
              </w:rPr>
              <w:t>Major category</w:t>
            </w:r>
          </w:p>
        </w:tc>
        <w:tc>
          <w:tcPr>
            <w:tcW w:type="dxa" w:w="1655"/>
            <w:tcMar>
              <w:top w:w="85" w:type="dxa"/>
              <w:start w:w="95" w:type="dxa"/>
              <w:bottom w:w="85" w:type="dxa"/>
              <w:end w:w="95" w:type="dxa"/>
            </w:tcMar>
            <w:vAlign w:val="center"/>
          </w:tcPr>
          <w:p>
            <w:pPr>
              <w:spacing w:after="0" w:line="252" w:lineRule="auto"/>
              <w:jc w:val="left"/>
            </w:pPr>
            <w:r>
              <w:rPr>
                <w:rFonts w:ascii="Arial" w:hAnsi="Arial"/>
                <w:color w:val="000000"/>
                <w:sz w:val="17"/>
              </w:rPr>
              <w:t>163,498</w:t>
            </w:r>
          </w:p>
        </w:tc>
        <w:tc>
          <w:tcPr>
            <w:tcW w:type="dxa" w:w="1584"/>
            <w:tcMar>
              <w:top w:w="85" w:type="dxa"/>
              <w:start w:w="95" w:type="dxa"/>
              <w:bottom w:w="85" w:type="dxa"/>
              <w:end w:w="95" w:type="dxa"/>
            </w:tcMar>
            <w:vAlign w:val="center"/>
          </w:tcPr>
          <w:p>
            <w:pPr>
              <w:spacing w:after="0" w:line="252" w:lineRule="auto"/>
              <w:jc w:val="left"/>
            </w:pPr>
            <w:r>
              <w:rPr>
                <w:rFonts w:ascii="Arial" w:hAnsi="Arial"/>
                <w:color w:val="000000"/>
                <w:sz w:val="17"/>
              </w:rPr>
              <w:t>100.0%</w:t>
            </w:r>
          </w:p>
        </w:tc>
        <w:tc>
          <w:tcPr>
            <w:tcW w:type="dxa" w:w="3311"/>
            <w:tcMar>
              <w:top w:w="85" w:type="dxa"/>
              <w:start w:w="95" w:type="dxa"/>
              <w:bottom w:w="85" w:type="dxa"/>
              <w:end w:w="95" w:type="dxa"/>
            </w:tcMar>
            <w:vAlign w:val="center"/>
          </w:tcPr>
          <w:p>
            <w:pPr>
              <w:spacing w:after="0" w:line="252" w:lineRule="auto"/>
              <w:jc w:val="left"/>
            </w:pPr>
            <w:r>
              <w:rPr>
                <w:rFonts w:ascii="Arial" w:hAnsi="Arial"/>
                <w:color w:val="000000"/>
                <w:sz w:val="17"/>
              </w:rPr>
              <w:t>Strong</w:t>
            </w:r>
          </w:p>
        </w:tc>
      </w:tr>
      <w:tr>
        <w:trPr>
          <w:cantSplit/>
        </w:trPr>
        <w:tc>
          <w:tcPr>
            <w:tcW w:type="dxa" w:w="352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Minor category</w:t>
            </w:r>
          </w:p>
        </w:tc>
        <w:tc>
          <w:tcPr>
            <w:tcW w:type="dxa" w:w="1655"/>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155,525</w:t>
            </w:r>
          </w:p>
        </w:tc>
        <w:tc>
          <w:tcPr>
            <w:tcW w:type="dxa" w:w="158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95.1%</w:t>
            </w:r>
          </w:p>
        </w:tc>
        <w:tc>
          <w:tcPr>
            <w:tcW w:type="dxa" w:w="3311"/>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Strong</w:t>
            </w:r>
          </w:p>
        </w:tc>
      </w:tr>
      <w:tr>
        <w:trPr>
          <w:cantSplit/>
        </w:trPr>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7"/>
              </w:rPr>
              <w:t>Placed in service date</w:t>
            </w:r>
          </w:p>
        </w:tc>
        <w:tc>
          <w:tcPr>
            <w:tcW w:type="dxa" w:w="1655"/>
            <w:tcMar>
              <w:top w:w="85" w:type="dxa"/>
              <w:start w:w="95" w:type="dxa"/>
              <w:bottom w:w="85" w:type="dxa"/>
              <w:end w:w="95" w:type="dxa"/>
            </w:tcMar>
            <w:vAlign w:val="center"/>
          </w:tcPr>
          <w:p>
            <w:pPr>
              <w:spacing w:after="0" w:line="252" w:lineRule="auto"/>
              <w:jc w:val="left"/>
            </w:pPr>
            <w:r>
              <w:rPr>
                <w:rFonts w:ascii="Arial" w:hAnsi="Arial"/>
                <w:color w:val="000000"/>
                <w:sz w:val="17"/>
              </w:rPr>
              <w:t>29,644</w:t>
            </w:r>
          </w:p>
        </w:tc>
        <w:tc>
          <w:tcPr>
            <w:tcW w:type="dxa" w:w="1584"/>
            <w:tcMar>
              <w:top w:w="85" w:type="dxa"/>
              <w:start w:w="95" w:type="dxa"/>
              <w:bottom w:w="85" w:type="dxa"/>
              <w:end w:w="95" w:type="dxa"/>
            </w:tcMar>
            <w:vAlign w:val="center"/>
          </w:tcPr>
          <w:p>
            <w:pPr>
              <w:spacing w:after="0" w:line="252" w:lineRule="auto"/>
              <w:jc w:val="left"/>
            </w:pPr>
            <w:r>
              <w:rPr>
                <w:rFonts w:ascii="Arial" w:hAnsi="Arial"/>
                <w:color w:val="000000"/>
                <w:sz w:val="17"/>
              </w:rPr>
              <w:t>18.1%</w:t>
            </w:r>
          </w:p>
        </w:tc>
        <w:tc>
          <w:tcPr>
            <w:tcW w:type="dxa" w:w="3311"/>
            <w:tcMar>
              <w:top w:w="85" w:type="dxa"/>
              <w:start w:w="95" w:type="dxa"/>
              <w:bottom w:w="85" w:type="dxa"/>
              <w:end w:w="95" w:type="dxa"/>
            </w:tcMar>
            <w:vAlign w:val="center"/>
          </w:tcPr>
          <w:p>
            <w:pPr>
              <w:spacing w:after="0" w:line="252" w:lineRule="auto"/>
              <w:jc w:val="left"/>
            </w:pPr>
            <w:r>
              <w:rPr>
                <w:rFonts w:ascii="Arial" w:hAnsi="Arial"/>
                <w:color w:val="000000"/>
                <w:sz w:val="17"/>
              </w:rPr>
              <w:t>Limited</w:t>
            </w:r>
          </w:p>
        </w:tc>
      </w:tr>
      <w:tr>
        <w:trPr>
          <w:cantSplit/>
        </w:trPr>
        <w:tc>
          <w:tcPr>
            <w:tcW w:type="dxa" w:w="352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Current use flag</w:t>
            </w:r>
          </w:p>
        </w:tc>
        <w:tc>
          <w:tcPr>
            <w:tcW w:type="dxa" w:w="1655"/>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62,568</w:t>
            </w:r>
          </w:p>
        </w:tc>
        <w:tc>
          <w:tcPr>
            <w:tcW w:type="dxa" w:w="158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38.3%</w:t>
            </w:r>
          </w:p>
        </w:tc>
        <w:tc>
          <w:tcPr>
            <w:tcW w:type="dxa" w:w="3311"/>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Partial</w:t>
            </w:r>
          </w:p>
        </w:tc>
      </w:tr>
      <w:tr>
        <w:trPr>
          <w:cantSplit/>
        </w:trPr>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7"/>
              </w:rPr>
              <w:t>Tag number</w:t>
            </w:r>
          </w:p>
        </w:tc>
        <w:tc>
          <w:tcPr>
            <w:tcW w:type="dxa" w:w="1655"/>
            <w:tcMar>
              <w:top w:w="85" w:type="dxa"/>
              <w:start w:w="95" w:type="dxa"/>
              <w:bottom w:w="85" w:type="dxa"/>
              <w:end w:w="95" w:type="dxa"/>
            </w:tcMar>
            <w:vAlign w:val="center"/>
          </w:tcPr>
          <w:p>
            <w:pPr>
              <w:spacing w:after="0" w:line="252" w:lineRule="auto"/>
              <w:jc w:val="left"/>
            </w:pPr>
            <w:r>
              <w:rPr>
                <w:rFonts w:ascii="Arial" w:hAnsi="Arial"/>
                <w:color w:val="000000"/>
                <w:sz w:val="17"/>
              </w:rPr>
              <w:t>14,593</w:t>
            </w:r>
          </w:p>
        </w:tc>
        <w:tc>
          <w:tcPr>
            <w:tcW w:type="dxa" w:w="1584"/>
            <w:tcMar>
              <w:top w:w="85" w:type="dxa"/>
              <w:start w:w="95" w:type="dxa"/>
              <w:bottom w:w="85" w:type="dxa"/>
              <w:end w:w="95" w:type="dxa"/>
            </w:tcMar>
            <w:vAlign w:val="center"/>
          </w:tcPr>
          <w:p>
            <w:pPr>
              <w:spacing w:after="0" w:line="252" w:lineRule="auto"/>
              <w:jc w:val="left"/>
            </w:pPr>
            <w:r>
              <w:rPr>
                <w:rFonts w:ascii="Arial" w:hAnsi="Arial"/>
                <w:color w:val="000000"/>
                <w:sz w:val="17"/>
              </w:rPr>
              <w:t>8.9%</w:t>
            </w:r>
          </w:p>
        </w:tc>
        <w:tc>
          <w:tcPr>
            <w:tcW w:type="dxa" w:w="3311"/>
            <w:tcMar>
              <w:top w:w="85" w:type="dxa"/>
              <w:start w:w="95" w:type="dxa"/>
              <w:bottom w:w="85" w:type="dxa"/>
              <w:end w:w="95" w:type="dxa"/>
            </w:tcMar>
            <w:vAlign w:val="center"/>
          </w:tcPr>
          <w:p>
            <w:pPr>
              <w:spacing w:after="0" w:line="252" w:lineRule="auto"/>
              <w:jc w:val="left"/>
            </w:pPr>
            <w:r>
              <w:rPr>
                <w:rFonts w:ascii="Arial" w:hAnsi="Arial"/>
                <w:color w:val="000000"/>
                <w:sz w:val="17"/>
              </w:rPr>
              <w:t>Limited</w:t>
            </w:r>
          </w:p>
        </w:tc>
      </w:tr>
      <w:tr>
        <w:trPr>
          <w:cantSplit/>
        </w:trPr>
        <w:tc>
          <w:tcPr>
            <w:tcW w:type="dxa" w:w="352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Serial number</w:t>
            </w:r>
          </w:p>
        </w:tc>
        <w:tc>
          <w:tcPr>
            <w:tcW w:type="dxa" w:w="1655"/>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662</w:t>
            </w:r>
          </w:p>
        </w:tc>
        <w:tc>
          <w:tcPr>
            <w:tcW w:type="dxa" w:w="158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0.4%</w:t>
            </w:r>
          </w:p>
        </w:tc>
        <w:tc>
          <w:tcPr>
            <w:tcW w:type="dxa" w:w="3311"/>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Very limited</w:t>
            </w:r>
          </w:p>
        </w:tc>
      </w:tr>
      <w:tr>
        <w:trPr>
          <w:cantSplit/>
        </w:trPr>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7"/>
              </w:rPr>
              <w:t>Cost</w:t>
            </w:r>
          </w:p>
        </w:tc>
        <w:tc>
          <w:tcPr>
            <w:tcW w:type="dxa" w:w="1655"/>
            <w:tcMar>
              <w:top w:w="85" w:type="dxa"/>
              <w:start w:w="95" w:type="dxa"/>
              <w:bottom w:w="85" w:type="dxa"/>
              <w:end w:w="95" w:type="dxa"/>
            </w:tcMar>
            <w:vAlign w:val="center"/>
          </w:tcPr>
          <w:p>
            <w:pPr>
              <w:spacing w:after="0" w:line="252" w:lineRule="auto"/>
              <w:jc w:val="left"/>
            </w:pPr>
            <w:r>
              <w:rPr>
                <w:rFonts w:ascii="Arial" w:hAnsi="Arial"/>
                <w:color w:val="000000"/>
                <w:sz w:val="17"/>
              </w:rPr>
              <w:t>6,926</w:t>
            </w:r>
          </w:p>
        </w:tc>
        <w:tc>
          <w:tcPr>
            <w:tcW w:type="dxa" w:w="1584"/>
            <w:tcMar>
              <w:top w:w="85" w:type="dxa"/>
              <w:start w:w="95" w:type="dxa"/>
              <w:bottom w:w="85" w:type="dxa"/>
              <w:end w:w="95" w:type="dxa"/>
            </w:tcMar>
            <w:vAlign w:val="center"/>
          </w:tcPr>
          <w:p>
            <w:pPr>
              <w:spacing w:after="0" w:line="252" w:lineRule="auto"/>
              <w:jc w:val="left"/>
            </w:pPr>
            <w:r>
              <w:rPr>
                <w:rFonts w:ascii="Arial" w:hAnsi="Arial"/>
                <w:color w:val="000000"/>
                <w:sz w:val="17"/>
              </w:rPr>
              <w:t>4.2%</w:t>
            </w:r>
          </w:p>
        </w:tc>
        <w:tc>
          <w:tcPr>
            <w:tcW w:type="dxa" w:w="3311"/>
            <w:tcMar>
              <w:top w:w="85" w:type="dxa"/>
              <w:start w:w="95" w:type="dxa"/>
              <w:bottom w:w="85" w:type="dxa"/>
              <w:end w:w="95" w:type="dxa"/>
            </w:tcMar>
            <w:vAlign w:val="center"/>
          </w:tcPr>
          <w:p>
            <w:pPr>
              <w:spacing w:after="0" w:line="252" w:lineRule="auto"/>
              <w:jc w:val="left"/>
            </w:pPr>
            <w:r>
              <w:rPr>
                <w:rFonts w:ascii="Arial" w:hAnsi="Arial"/>
                <w:color w:val="000000"/>
                <w:sz w:val="17"/>
              </w:rPr>
              <w:t>Very limited</w:t>
            </w:r>
          </w:p>
        </w:tc>
      </w:tr>
    </w:tbl>
    <w:p>
      <w:pPr>
        <w:spacing w:after="20" w:before="0"/>
      </w:pPr>
    </w:p>
    <w:p>
      <w:pPr>
        <w:pStyle w:val="Heading2"/>
        <w:keepNext/>
      </w:pPr>
      <w:r>
        <w:rPr>
          <w:rFonts w:ascii="Arial" w:hAnsi="Arial"/>
        </w:rPr>
        <w:t>Facilities supported by consolidated registers</w:t>
      </w:r>
    </w:p>
    <w:p>
      <w:r>
        <w:rPr>
          <w:rFonts w:ascii="Arial" w:hAnsi="Arial"/>
        </w:rPr>
        <w:t>For 38 master facilities across 17 local governments, completion is based on identifiable rows in a consolidated register rather than a facility-specific physical-verification return. These records support facility and asset identification, but they do not certify that each item was seen on site.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1944"/>
            <w:shd w:fill="17365D"/>
            <w:tcMar>
              <w:top w:w="105" w:type="dxa"/>
              <w:start w:w="95" w:type="dxa"/>
              <w:bottom w:w="105" w:type="dxa"/>
              <w:end w:w="95" w:type="dxa"/>
            </w:tcMar>
            <w:vAlign w:val="center"/>
          </w:tcPr>
          <w:p>
            <w:pPr>
              <w:spacing w:after="0"/>
              <w:jc w:val="left"/>
            </w:pPr>
            <w:r>
              <w:rPr>
                <w:rFonts w:ascii="Arial" w:hAnsi="Arial"/>
                <w:b/>
                <w:color w:val="FFFFFF"/>
                <w:sz w:val="15"/>
              </w:rPr>
              <w:t>Local government</w:t>
            </w:r>
          </w:p>
        </w:tc>
        <w:tc>
          <w:tcPr>
            <w:tcW w:type="dxa" w:w="1080"/>
            <w:shd w:fill="17365D"/>
            <w:tcMar>
              <w:top w:w="105" w:type="dxa"/>
              <w:start w:w="95" w:type="dxa"/>
              <w:bottom w:w="105" w:type="dxa"/>
              <w:end w:w="95" w:type="dxa"/>
            </w:tcMar>
            <w:vAlign w:val="center"/>
          </w:tcPr>
          <w:p>
            <w:pPr>
              <w:spacing w:after="0"/>
              <w:jc w:val="left"/>
            </w:pPr>
            <w:r>
              <w:rPr>
                <w:rFonts w:ascii="Arial" w:hAnsi="Arial"/>
                <w:b/>
                <w:color w:val="FFFFFF"/>
                <w:sz w:val="15"/>
              </w:rPr>
              <w:t>Facilities</w:t>
            </w:r>
          </w:p>
        </w:tc>
        <w:tc>
          <w:tcPr>
            <w:tcW w:type="dxa" w:w="7056"/>
            <w:shd w:fill="17365D"/>
            <w:tcMar>
              <w:top w:w="105" w:type="dxa"/>
              <w:start w:w="95" w:type="dxa"/>
              <w:bottom w:w="105" w:type="dxa"/>
              <w:end w:w="95" w:type="dxa"/>
            </w:tcMar>
            <w:vAlign w:val="center"/>
          </w:tcPr>
          <w:p>
            <w:pPr>
              <w:spacing w:after="0"/>
              <w:jc w:val="left"/>
            </w:pPr>
            <w:r>
              <w:rPr>
                <w:rFonts w:ascii="Arial" w:hAnsi="Arial"/>
                <w:b/>
                <w:color w:val="FFFFFF"/>
                <w:sz w:val="15"/>
              </w:rPr>
              <w:t>Facility names</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Alebtong</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2</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Abia .S Seed Secondary School; Awei Seed Secondary School</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Bugiri</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Budhaya Seed Secondary School</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Buliisa</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Avogera Health Centre III</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Bunyangabu</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2</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Kateebwa Monument Health Centre III; Rubona Health Centre III</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Dokolo</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Batta Seed Secondary School</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Hoima City</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Kihuukya Health Centre III</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Kakumiro</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5</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Birembo Health Centre III; Kabuubwa Health Centre III; Kakindo Health Centre III; Kigando Health Centre III; Kitaihuka Health Centre III</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Kamwenge</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2</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Bwizi Seed Secondary School; Kabingo Health Centre III</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Kasese</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6</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Buhuhira Health Centre III; Bwesumbu Health Centre III; Bwesumbu Seed Secondary School; Kyempara Health Centre III; Nyabirongo Health Centre III; Nyakimasa Health Centre III</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Kiboga</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2</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Bulaga Health Centre III; Buninga Health Centre III</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Kitagwenda</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Kanara Seed Secondary School</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Kyankwanzi</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2</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Banda Health Centre III; Mujunza Health Centre III</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Mitooma</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4</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Bukuba Health Centre III; Mayanga Health Centre III; Nyakishojwa Health Centre III; Ryengyerero Health Centre III</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Mubende</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Lumbiri Health Centre III</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Otuke</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2</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Ogoro Seed Secondary School; Okum Seed Secondary School</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Serere</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Kagwara Seed Secondary School</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Sheema</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4</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Kigarama Seed Secondary School; Kyeibanga Health Centre III; Rugarama Health Centre III; Ryakasinga Seed Secondary School</w:t>
            </w:r>
          </w:p>
        </w:tc>
      </w:tr>
    </w:tbl>
    <w:p>
      <w:pPr>
        <w:spacing w:after="20" w:before="0"/>
      </w:pPr>
    </w:p>
    <w:p>
      <w:pPr>
        <w:pStyle w:val="Heading2"/>
        <w:keepNext/>
      </w:pPr>
      <w:r>
        <w:rPr>
          <w:rFonts w:ascii="Arial" w:hAnsi="Arial"/>
        </w:rPr>
        <w:t>Quality standard for each local register</w:t>
      </w:r>
    </w:p>
    <w:p>
      <w:r>
        <w:rPr>
          <w:rFonts w:ascii="Arial" w:hAnsi="Arial"/>
        </w:rPr>
        <w:t>A facility register should be rated Strong only when the item can be identified, located, valued and followed through its lifecycle. A register that lists assets but omits cost, service date and identifiers is useful for reconciliation, but it should be rated Partial until those fields are completed.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1728"/>
            <w:shd w:fill="17365D"/>
            <w:tcMar>
              <w:top w:w="105" w:type="dxa"/>
              <w:start w:w="95" w:type="dxa"/>
              <w:bottom w:w="105" w:type="dxa"/>
              <w:end w:w="95" w:type="dxa"/>
            </w:tcMar>
            <w:vAlign w:val="center"/>
          </w:tcPr>
          <w:p>
            <w:pPr>
              <w:spacing w:after="0"/>
              <w:jc w:val="left"/>
            </w:pPr>
            <w:r>
              <w:rPr>
                <w:rFonts w:ascii="Arial" w:hAnsi="Arial"/>
                <w:b/>
                <w:color w:val="FFFFFF"/>
                <w:sz w:val="17"/>
              </w:rPr>
              <w:t>Rating</w:t>
            </w:r>
          </w:p>
        </w:tc>
        <w:tc>
          <w:tcPr>
            <w:tcW w:type="dxa" w:w="8352"/>
            <w:shd w:fill="17365D"/>
            <w:tcMar>
              <w:top w:w="105" w:type="dxa"/>
              <w:start w:w="95" w:type="dxa"/>
              <w:bottom w:w="105" w:type="dxa"/>
              <w:end w:w="95" w:type="dxa"/>
            </w:tcMar>
            <w:vAlign w:val="center"/>
          </w:tcPr>
          <w:p>
            <w:pPr>
              <w:spacing w:after="0"/>
              <w:jc w:val="left"/>
            </w:pPr>
            <w:r>
              <w:rPr>
                <w:rFonts w:ascii="Arial" w:hAnsi="Arial"/>
                <w:b/>
                <w:color w:val="FFFFFF"/>
                <w:sz w:val="17"/>
              </w:rPr>
              <w:t>Definition</w:t>
            </w:r>
          </w:p>
        </w:tc>
      </w:tr>
      <w:tr>
        <w:trPr>
          <w:cantSplit/>
        </w:trPr>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7"/>
              </w:rPr>
              <w:t>Strong</w:t>
            </w:r>
          </w:p>
        </w:tc>
        <w:tc>
          <w:tcPr>
            <w:tcW w:type="dxa" w:w="8352"/>
            <w:tcMar>
              <w:top w:w="85" w:type="dxa"/>
              <w:start w:w="95" w:type="dxa"/>
              <w:bottom w:w="85" w:type="dxa"/>
              <w:end w:w="95" w:type="dxa"/>
            </w:tcMar>
            <w:vAlign w:val="center"/>
          </w:tcPr>
          <w:p>
            <w:pPr>
              <w:spacing w:after="0" w:line="252" w:lineRule="auto"/>
              <w:jc w:val="left"/>
            </w:pPr>
            <w:r>
              <w:rPr>
                <w:rFonts w:ascii="Arial" w:hAnsi="Arial"/>
                <w:color w:val="000000"/>
                <w:sz w:val="17"/>
              </w:rPr>
              <w:t>Facility and location confirmed; description, quantity, cost, service date, tag or serial, condition, use and custodian substantially complete.</w:t>
            </w:r>
          </w:p>
        </w:tc>
      </w:tr>
      <w:tr>
        <w:trPr>
          <w:cantSplit/>
        </w:trPr>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Partial</w:t>
            </w:r>
          </w:p>
        </w:tc>
        <w:tc>
          <w:tcPr>
            <w:tcW w:type="dxa" w:w="835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Assets are identifiable and attributable to the facility, but several accounting, custody or lifecycle fields are missing.</w:t>
            </w:r>
          </w:p>
        </w:tc>
      </w:tr>
      <w:tr>
        <w:trPr>
          <w:cantSplit/>
        </w:trPr>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7"/>
              </w:rPr>
              <w:t>Limited</w:t>
            </w:r>
          </w:p>
        </w:tc>
        <w:tc>
          <w:tcPr>
            <w:tcW w:type="dxa" w:w="8352"/>
            <w:tcMar>
              <w:top w:w="85" w:type="dxa"/>
              <w:start w:w="95" w:type="dxa"/>
              <w:bottom w:w="85" w:type="dxa"/>
              <w:end w:w="95" w:type="dxa"/>
            </w:tcMar>
            <w:vAlign w:val="center"/>
          </w:tcPr>
          <w:p>
            <w:pPr>
              <w:spacing w:after="0" w:line="252" w:lineRule="auto"/>
              <w:jc w:val="left"/>
            </w:pPr>
            <w:r>
              <w:rPr>
                <w:rFonts w:ascii="Arial" w:hAnsi="Arial"/>
                <w:color w:val="000000"/>
                <w:sz w:val="17"/>
              </w:rPr>
              <w:t>The register is a list or group schedule with weak facility identity, uncertain quantities, minimal identifiers or no condition evidence.</w:t>
            </w:r>
          </w:p>
        </w:tc>
      </w:tr>
    </w:tbl>
    <w:p>
      <w:pPr>
        <w:spacing w:after="20" w:before="0"/>
      </w:pPr>
    </w:p>
    <w:p>
      <w:r>
        <w:rPr>
          <w:rFonts w:ascii="Arial" w:hAnsi="Arial"/>
        </w:rPr>
        <w:br w:type="page"/>
      </w:r>
    </w:p>
    <w:p>
      <w:pPr>
        <w:pStyle w:val="Heading1"/>
        <w:keepNext/>
      </w:pPr>
      <w:r>
        <w:rPr>
          <w:rFonts w:ascii="Arial" w:hAnsi="Arial"/>
        </w:rPr>
        <w:t>Cost treatment and estimation</w:t>
      </w:r>
    </w:p>
    <w:p>
      <w:r>
        <w:rPr>
          <w:rFonts w:ascii="Arial" w:hAnsi="Arial"/>
        </w:rPr>
        <w:t>Only 6,926 of 163,498 asset records have a supported positive cost. The known amount is UGX 47,188,668,915.44. The remaining 156,572 records should not be assigned a convenient average without checking that the comparison is genuinely like for like.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2664"/>
            <w:shd w:fill="17365D"/>
            <w:tcMar>
              <w:top w:w="105" w:type="dxa"/>
              <w:start w:w="95" w:type="dxa"/>
              <w:bottom w:w="105" w:type="dxa"/>
              <w:end w:w="95" w:type="dxa"/>
            </w:tcMar>
            <w:vAlign w:val="center"/>
          </w:tcPr>
          <w:p>
            <w:pPr>
              <w:spacing w:after="0"/>
              <w:jc w:val="left"/>
            </w:pPr>
            <w:r>
              <w:rPr>
                <w:rFonts w:ascii="Arial" w:hAnsi="Arial"/>
                <w:b/>
                <w:color w:val="FFFFFF"/>
                <w:sz w:val="17"/>
              </w:rPr>
              <w:t>Cost status</w:t>
            </w:r>
          </w:p>
        </w:tc>
        <w:tc>
          <w:tcPr>
            <w:tcW w:type="dxa" w:w="1440"/>
            <w:shd w:fill="17365D"/>
            <w:tcMar>
              <w:top w:w="105" w:type="dxa"/>
              <w:start w:w="95" w:type="dxa"/>
              <w:bottom w:w="105" w:type="dxa"/>
              <w:end w:w="95" w:type="dxa"/>
            </w:tcMar>
            <w:vAlign w:val="center"/>
          </w:tcPr>
          <w:p>
            <w:pPr>
              <w:spacing w:after="0"/>
              <w:jc w:val="left"/>
            </w:pPr>
            <w:r>
              <w:rPr>
                <w:rFonts w:ascii="Arial" w:hAnsi="Arial"/>
                <w:b/>
                <w:color w:val="FFFFFF"/>
                <w:sz w:val="17"/>
              </w:rPr>
              <w:t>Records</w:t>
            </w:r>
          </w:p>
        </w:tc>
        <w:tc>
          <w:tcPr>
            <w:tcW w:type="dxa" w:w="1152"/>
            <w:shd w:fill="17365D"/>
            <w:tcMar>
              <w:top w:w="105" w:type="dxa"/>
              <w:start w:w="95" w:type="dxa"/>
              <w:bottom w:w="105" w:type="dxa"/>
              <w:end w:w="95" w:type="dxa"/>
            </w:tcMar>
            <w:vAlign w:val="center"/>
          </w:tcPr>
          <w:p>
            <w:pPr>
              <w:spacing w:after="0"/>
              <w:jc w:val="left"/>
            </w:pPr>
            <w:r>
              <w:rPr>
                <w:rFonts w:ascii="Arial" w:hAnsi="Arial"/>
                <w:b/>
                <w:color w:val="FFFFFF"/>
                <w:sz w:val="17"/>
              </w:rPr>
              <w:t>Share</w:t>
            </w:r>
          </w:p>
        </w:tc>
        <w:tc>
          <w:tcPr>
            <w:tcW w:type="dxa" w:w="4824"/>
            <w:shd w:fill="17365D"/>
            <w:tcMar>
              <w:top w:w="105" w:type="dxa"/>
              <w:start w:w="95" w:type="dxa"/>
              <w:bottom w:w="105" w:type="dxa"/>
              <w:end w:w="95" w:type="dxa"/>
            </w:tcMar>
            <w:vAlign w:val="center"/>
          </w:tcPr>
          <w:p>
            <w:pPr>
              <w:spacing w:after="0"/>
              <w:jc w:val="left"/>
            </w:pPr>
            <w:r>
              <w:rPr>
                <w:rFonts w:ascii="Arial" w:hAnsi="Arial"/>
                <w:b/>
                <w:color w:val="FFFFFF"/>
                <w:sz w:val="17"/>
              </w:rPr>
              <w:t>Treatment</w:t>
            </w:r>
          </w:p>
        </w:tc>
      </w:tr>
      <w:tr>
        <w:trPr>
          <w:cantSplit/>
        </w:trPr>
        <w:tc>
          <w:tcPr>
            <w:tcW w:type="dxa" w:w="2664"/>
            <w:tcMar>
              <w:top w:w="85" w:type="dxa"/>
              <w:start w:w="95" w:type="dxa"/>
              <w:bottom w:w="85" w:type="dxa"/>
              <w:end w:w="95" w:type="dxa"/>
            </w:tcMar>
            <w:vAlign w:val="center"/>
          </w:tcPr>
          <w:p>
            <w:pPr>
              <w:spacing w:after="0" w:line="252" w:lineRule="auto"/>
              <w:jc w:val="left"/>
            </w:pPr>
            <w:r>
              <w:rPr>
                <w:rFonts w:ascii="Arial" w:hAnsi="Arial"/>
                <w:color w:val="000000"/>
                <w:sz w:val="17"/>
              </w:rPr>
              <w:t>Supported source unit cost</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7"/>
              </w:rPr>
              <w:t>6,926</w:t>
            </w:r>
          </w:p>
        </w:tc>
        <w:tc>
          <w:tcPr>
            <w:tcW w:type="dxa" w:w="1152"/>
            <w:tcMar>
              <w:top w:w="85" w:type="dxa"/>
              <w:start w:w="95" w:type="dxa"/>
              <w:bottom w:w="85" w:type="dxa"/>
              <w:end w:w="95" w:type="dxa"/>
            </w:tcMar>
            <w:vAlign w:val="center"/>
          </w:tcPr>
          <w:p>
            <w:pPr>
              <w:spacing w:after="0" w:line="252" w:lineRule="auto"/>
              <w:jc w:val="left"/>
            </w:pPr>
            <w:r>
              <w:rPr>
                <w:rFonts w:ascii="Arial" w:hAnsi="Arial"/>
                <w:color w:val="000000"/>
                <w:sz w:val="17"/>
              </w:rPr>
              <w:t>4.2%</w:t>
            </w:r>
          </w:p>
        </w:tc>
        <w:tc>
          <w:tcPr>
            <w:tcW w:type="dxa" w:w="4824"/>
            <w:tcMar>
              <w:top w:w="85" w:type="dxa"/>
              <w:start w:w="95" w:type="dxa"/>
              <w:bottom w:w="85" w:type="dxa"/>
              <w:end w:w="95" w:type="dxa"/>
            </w:tcMar>
            <w:vAlign w:val="center"/>
          </w:tcPr>
          <w:p>
            <w:pPr>
              <w:spacing w:after="0" w:line="252" w:lineRule="auto"/>
              <w:jc w:val="left"/>
            </w:pPr>
            <w:r>
              <w:rPr>
                <w:rFonts w:ascii="Arial" w:hAnsi="Arial"/>
                <w:color w:val="000000"/>
                <w:sz w:val="17"/>
              </w:rPr>
              <w:t>Retain as source cost with source reference.</w:t>
            </w:r>
          </w:p>
        </w:tc>
      </w:tr>
      <w:tr>
        <w:trPr>
          <w:cantSplit/>
        </w:trPr>
        <w:tc>
          <w:tcPr>
            <w:tcW w:type="dxa" w:w="266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Cost not established</w:t>
            </w:r>
          </w:p>
        </w:tc>
        <w:tc>
          <w:tcPr>
            <w:tcW w:type="dxa" w:w="144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156,572</w:t>
            </w:r>
          </w:p>
        </w:tc>
        <w:tc>
          <w:tcPr>
            <w:tcW w:type="dxa" w:w="115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95.8%</w:t>
            </w:r>
          </w:p>
        </w:tc>
        <w:tc>
          <w:tcPr>
            <w:tcW w:type="dxa" w:w="482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Estimate only under an approved peer method and keep the estimate visibly separate.</w:t>
            </w:r>
          </w:p>
        </w:tc>
      </w:tr>
    </w:tbl>
    <w:p>
      <w:pPr>
        <w:spacing w:after="20" w:before="0"/>
      </w:pPr>
    </w:p>
    <w:p>
      <w:pPr>
        <w:pStyle w:val="Heading2"/>
        <w:keepNext/>
      </w:pPr>
      <w:r>
        <w:rPr>
          <w:rFonts w:ascii="Arial" w:hAnsi="Arial"/>
        </w:rPr>
        <w:t>Recommended peer cost method</w:t>
      </w:r>
    </w:p>
    <w:p>
      <w:r>
        <w:rPr>
          <w:rFonts w:ascii="Arial" w:hAnsi="Arial"/>
        </w:rPr>
        <w:t>The preferred estimate is the median unit cost of comparable assets in the same local government. The median is less distorted by unusually high or low prices than a simple average. The comparison group must match the asset class, specification, capacity, condition and acquisition period as closely as the source allows.</w:t>
      </w:r>
    </w:p>
    <w:p>
      <w:pPr>
        <w:spacing w:after="60" w:line="259" w:lineRule="auto"/>
        <w:ind w:left="403" w:hanging="403"/>
      </w:pPr>
      <w:r>
        <w:rPr>
          <w:rFonts w:ascii="Arial" w:hAnsi="Arial"/>
        </w:rPr>
        <w:t>1.  Use the same facility first when at least three genuinely comparable assets have supported costs.</w:t>
      </w:r>
    </w:p>
    <w:p>
      <w:pPr>
        <w:spacing w:after="60" w:line="259" w:lineRule="auto"/>
        <w:ind w:left="403" w:hanging="403"/>
      </w:pPr>
      <w:r>
        <w:rPr>
          <w:rFonts w:ascii="Arial" w:hAnsi="Arial"/>
        </w:rPr>
        <w:t>2.  If the facility has too few peers, use the same local government and the same normalized asset class, with at least five supported observations.</w:t>
      </w:r>
    </w:p>
    <w:p>
      <w:pPr>
        <w:spacing w:after="60" w:line="259" w:lineRule="auto"/>
        <w:ind w:left="403" w:hanging="403"/>
      </w:pPr>
      <w:r>
        <w:rPr>
          <w:rFonts w:ascii="Arial" w:hAnsi="Arial"/>
        </w:rPr>
        <w:t>3.  If the local government has no adequate peer group, use the same service type, such as a Health Centre III or Seed Secondary School, and the same region or procurement period. Mark this as lower confidence.</w:t>
      </w:r>
    </w:p>
    <w:p>
      <w:pPr>
        <w:spacing w:after="60" w:line="259" w:lineRule="auto"/>
        <w:ind w:left="403" w:hanging="403"/>
      </w:pPr>
      <w:r>
        <w:rPr>
          <w:rFonts w:ascii="Arial" w:hAnsi="Arial"/>
        </w:rPr>
        <w:t>4.  Do not use generic peer prices for land, buildings, major renovations, specialized systems or mixed bundles. Obtain the contract, bill of quantities, valuation or other approved evidence.</w:t>
      </w:r>
    </w:p>
    <w:p>
      <w:pPr>
        <w:spacing w:after="60" w:line="259" w:lineRule="auto"/>
        <w:ind w:left="403" w:hanging="403"/>
      </w:pPr>
      <w:r>
        <w:rPr>
          <w:rFonts w:ascii="Arial" w:hAnsi="Arial"/>
        </w:rPr>
        <w:t>5.  Store source cost and estimated cost in separate fields. Record the method, peer count, median, range, reference assets, reviewer and approval date.</w:t>
      </w:r>
    </w:p>
    <w:p>
      <w:pPr>
        <w:spacing w:after="60" w:line="259" w:lineRule="auto"/>
        <w:ind w:left="403" w:hanging="403"/>
      </w:pPr>
      <w:r>
        <w:rPr>
          <w:rFonts w:ascii="Arial" w:hAnsi="Arial"/>
        </w:rPr>
        <w:t>6.  Review estimates with finance and engineering staff before posting them to the accounting register. Never overwrite the original blank or source value without an audit trail.</w:t>
      </w:r>
    </w:p>
    <w:p>
      <w:pPr>
        <w:pStyle w:val="Heading2"/>
        <w:keepNext/>
      </w:pPr>
      <w:r>
        <w:rPr>
          <w:rFonts w:ascii="Arial" w:hAnsi="Arial"/>
        </w:rPr>
        <w:t>Minimum cost estimation record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232"/>
            <w:shd w:fill="17365D"/>
            <w:tcMar>
              <w:top w:w="105" w:type="dxa"/>
              <w:start w:w="95" w:type="dxa"/>
              <w:bottom w:w="105" w:type="dxa"/>
              <w:end w:w="95" w:type="dxa"/>
            </w:tcMar>
            <w:vAlign w:val="center"/>
          </w:tcPr>
          <w:p>
            <w:pPr>
              <w:spacing w:after="0"/>
              <w:jc w:val="left"/>
            </w:pPr>
            <w:r>
              <w:rPr>
                <w:rFonts w:ascii="Arial" w:hAnsi="Arial"/>
                <w:b/>
                <w:color w:val="FFFFFF"/>
                <w:sz w:val="17"/>
              </w:rPr>
              <w:t>Record section</w:t>
            </w:r>
          </w:p>
        </w:tc>
        <w:tc>
          <w:tcPr>
            <w:tcW w:type="dxa" w:w="7848"/>
            <w:shd w:fill="17365D"/>
            <w:tcMar>
              <w:top w:w="105" w:type="dxa"/>
              <w:start w:w="95" w:type="dxa"/>
              <w:bottom w:w="105" w:type="dxa"/>
              <w:end w:w="95" w:type="dxa"/>
            </w:tcMar>
            <w:vAlign w:val="center"/>
          </w:tcPr>
          <w:p>
            <w:pPr>
              <w:spacing w:after="0"/>
              <w:jc w:val="left"/>
            </w:pPr>
            <w:r>
              <w:rPr>
                <w:rFonts w:ascii="Arial" w:hAnsi="Arial"/>
                <w:b/>
                <w:color w:val="FFFFFF"/>
                <w:sz w:val="17"/>
              </w:rPr>
              <w:t>Required information</w:t>
            </w:r>
          </w:p>
        </w:tc>
      </w:tr>
      <w:tr>
        <w:trPr>
          <w:cantSplit/>
        </w:trPr>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Target asset</w:t>
            </w:r>
          </w:p>
        </w:tc>
        <w:tc>
          <w:tcPr>
            <w:tcW w:type="dxa" w:w="7848"/>
            <w:tcMar>
              <w:top w:w="85" w:type="dxa"/>
              <w:start w:w="95" w:type="dxa"/>
              <w:bottom w:w="85" w:type="dxa"/>
              <w:end w:w="95" w:type="dxa"/>
            </w:tcMar>
            <w:vAlign w:val="center"/>
          </w:tcPr>
          <w:p>
            <w:pPr>
              <w:spacing w:after="0" w:line="252" w:lineRule="auto"/>
              <w:jc w:val="left"/>
            </w:pPr>
            <w:r>
              <w:rPr>
                <w:rFonts w:ascii="Arial" w:hAnsi="Arial"/>
                <w:color w:val="000000"/>
                <w:sz w:val="17"/>
              </w:rPr>
              <w:t>Facility, local government, description, class, make or model, capacity, condition and acquisition period</w:t>
            </w:r>
          </w:p>
        </w:tc>
      </w:tr>
      <w:tr>
        <w:trPr>
          <w:cantSplit/>
        </w:trPr>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Peer basis</w:t>
            </w:r>
          </w:p>
        </w:tc>
        <w:tc>
          <w:tcPr>
            <w:tcW w:type="dxa" w:w="784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Same facility or same local government; asset class and specification; procurement period</w:t>
            </w:r>
          </w:p>
        </w:tc>
      </w:tr>
      <w:tr>
        <w:trPr>
          <w:cantSplit/>
        </w:trPr>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Calculation</w:t>
            </w:r>
          </w:p>
        </w:tc>
        <w:tc>
          <w:tcPr>
            <w:tcW w:type="dxa" w:w="7848"/>
            <w:tcMar>
              <w:top w:w="85" w:type="dxa"/>
              <w:start w:w="95" w:type="dxa"/>
              <w:bottom w:w="85" w:type="dxa"/>
              <w:end w:w="95" w:type="dxa"/>
            </w:tcMar>
            <w:vAlign w:val="center"/>
          </w:tcPr>
          <w:p>
            <w:pPr>
              <w:spacing w:after="0" w:line="252" w:lineRule="auto"/>
              <w:jc w:val="left"/>
            </w:pPr>
            <w:r>
              <w:rPr>
                <w:rFonts w:ascii="Arial" w:hAnsi="Arial"/>
                <w:color w:val="000000"/>
                <w:sz w:val="17"/>
              </w:rPr>
              <w:t>Number of peers, median unit cost, lowest and highest peer cost, estimated quantity and total</w:t>
            </w:r>
          </w:p>
        </w:tc>
      </w:tr>
      <w:tr>
        <w:trPr>
          <w:cantSplit/>
        </w:trPr>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Control</w:t>
            </w:r>
          </w:p>
        </w:tc>
        <w:tc>
          <w:tcPr>
            <w:tcW w:type="dxa" w:w="784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Source references, confidence level, preparer, reviewer, approval date and reason for using an estimate</w:t>
            </w:r>
          </w:p>
        </w:tc>
      </w:tr>
    </w:tbl>
    <w:p>
      <w:pPr>
        <w:spacing w:after="20" w:before="0"/>
      </w:pPr>
    </w:p>
    <w:p>
      <w:r>
        <w:rPr>
          <w:rFonts w:ascii="Arial" w:hAnsi="Arial"/>
        </w:rPr>
        <w:br w:type="page"/>
      </w:r>
    </w:p>
    <w:p>
      <w:pPr>
        <w:pStyle w:val="Heading1"/>
        <w:keepNext/>
      </w:pPr>
      <w:r>
        <w:rPr>
          <w:rFonts w:ascii="Arial" w:hAnsi="Arial"/>
        </w:rPr>
        <w:t>Follow up plan</w:t>
      </w:r>
    </w:p>
    <w:p>
      <w:r>
        <w:rPr>
          <w:rFonts w:ascii="Arial" w:hAnsi="Arial"/>
        </w:rPr>
        <w:t>The next round should be organized around decisions, not another general request for data. Each exception needs an owner, a due date and evidence that closes the point. The table below gives a practical sequence.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16"/>
        <w:gridCol w:w="2016"/>
        <w:gridCol w:w="2016"/>
        <w:gridCol w:w="2016"/>
        <w:gridCol w:w="2016"/>
      </w:tblGrid>
      <w:tr>
        <w:trPr>
          <w:tblHeader w:val="true"/>
          <w:cantSplit/>
        </w:trPr>
        <w:tc>
          <w:tcPr>
            <w:tcW w:type="dxa" w:w="648"/>
            <w:shd w:fill="17365D"/>
            <w:tcMar>
              <w:top w:w="105" w:type="dxa"/>
              <w:start w:w="95" w:type="dxa"/>
              <w:bottom w:w="105" w:type="dxa"/>
              <w:end w:w="95" w:type="dxa"/>
            </w:tcMar>
            <w:vAlign w:val="center"/>
          </w:tcPr>
          <w:p>
            <w:pPr>
              <w:spacing w:after="0"/>
              <w:jc w:val="left"/>
            </w:pPr>
            <w:r>
              <w:rPr>
                <w:rFonts w:ascii="Arial" w:hAnsi="Arial"/>
                <w:b/>
                <w:color w:val="FFFFFF"/>
                <w:sz w:val="15"/>
              </w:rPr>
              <w:t>Step</w:t>
            </w:r>
          </w:p>
        </w:tc>
        <w:tc>
          <w:tcPr>
            <w:tcW w:type="dxa" w:w="1728"/>
            <w:shd w:fill="17365D"/>
            <w:tcMar>
              <w:top w:w="105" w:type="dxa"/>
              <w:start w:w="95" w:type="dxa"/>
              <w:bottom w:w="105" w:type="dxa"/>
              <w:end w:w="95" w:type="dxa"/>
            </w:tcMar>
            <w:vAlign w:val="center"/>
          </w:tcPr>
          <w:p>
            <w:pPr>
              <w:spacing w:after="0"/>
              <w:jc w:val="left"/>
            </w:pPr>
            <w:r>
              <w:rPr>
                <w:rFonts w:ascii="Arial" w:hAnsi="Arial"/>
                <w:b/>
                <w:color w:val="FFFFFF"/>
                <w:sz w:val="15"/>
              </w:rPr>
              <w:t>Workstream</w:t>
            </w:r>
          </w:p>
        </w:tc>
        <w:tc>
          <w:tcPr>
            <w:tcW w:type="dxa" w:w="3456"/>
            <w:shd w:fill="17365D"/>
            <w:tcMar>
              <w:top w:w="105" w:type="dxa"/>
              <w:start w:w="95" w:type="dxa"/>
              <w:bottom w:w="105" w:type="dxa"/>
              <w:end w:w="95" w:type="dxa"/>
            </w:tcMar>
            <w:vAlign w:val="center"/>
          </w:tcPr>
          <w:p>
            <w:pPr>
              <w:spacing w:after="0"/>
              <w:jc w:val="left"/>
            </w:pPr>
            <w:r>
              <w:rPr>
                <w:rFonts w:ascii="Arial" w:hAnsi="Arial"/>
                <w:b/>
                <w:color w:val="FFFFFF"/>
                <w:sz w:val="15"/>
              </w:rPr>
              <w:t>Task</w:t>
            </w:r>
          </w:p>
        </w:tc>
        <w:tc>
          <w:tcPr>
            <w:tcW w:type="dxa" w:w="2088"/>
            <w:shd w:fill="17365D"/>
            <w:tcMar>
              <w:top w:w="105" w:type="dxa"/>
              <w:start w:w="95" w:type="dxa"/>
              <w:bottom w:w="105" w:type="dxa"/>
              <w:end w:w="95" w:type="dxa"/>
            </w:tcMar>
            <w:vAlign w:val="center"/>
          </w:tcPr>
          <w:p>
            <w:pPr>
              <w:spacing w:after="0"/>
              <w:jc w:val="left"/>
            </w:pPr>
            <w:r>
              <w:rPr>
                <w:rFonts w:ascii="Arial" w:hAnsi="Arial"/>
                <w:b/>
                <w:color w:val="FFFFFF"/>
                <w:sz w:val="15"/>
              </w:rPr>
              <w:t>Owner</w:t>
            </w:r>
          </w:p>
        </w:tc>
        <w:tc>
          <w:tcPr>
            <w:tcW w:type="dxa" w:w="2160"/>
            <w:shd w:fill="17365D"/>
            <w:tcMar>
              <w:top w:w="105" w:type="dxa"/>
              <w:start w:w="95" w:type="dxa"/>
              <w:bottom w:w="105" w:type="dxa"/>
              <w:end w:w="95" w:type="dxa"/>
            </w:tcMar>
            <w:vAlign w:val="center"/>
          </w:tcPr>
          <w:p>
            <w:pPr>
              <w:spacing w:after="0"/>
              <w:jc w:val="left"/>
            </w:pPr>
            <w:r>
              <w:rPr>
                <w:rFonts w:ascii="Arial" w:hAnsi="Arial"/>
                <w:b/>
                <w:color w:val="FFFFFF"/>
                <w:sz w:val="15"/>
              </w:rPr>
              <w:t>Evidence of closure</w:t>
            </w:r>
          </w:p>
        </w:tc>
      </w:tr>
      <w:tr>
        <w:trPr>
          <w:cantSplit/>
        </w:trPr>
        <w:tc>
          <w:tcPr>
            <w:tcW w:type="dxa" w:w="648"/>
            <w:tcMar>
              <w:top w:w="85" w:type="dxa"/>
              <w:start w:w="95" w:type="dxa"/>
              <w:bottom w:w="85" w:type="dxa"/>
              <w:end w:w="95" w:type="dxa"/>
            </w:tcMar>
            <w:vAlign w:val="center"/>
          </w:tcPr>
          <w:p>
            <w:pPr>
              <w:spacing w:after="0" w:line="252" w:lineRule="auto"/>
              <w:jc w:val="left"/>
            </w:pPr>
            <w:r>
              <w:rPr>
                <w:rFonts w:ascii="Arial" w:hAnsi="Arial"/>
                <w:color w:val="000000"/>
                <w:sz w:val="15"/>
              </w:rPr>
              <w:t>1</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5"/>
              </w:rPr>
              <w:t>Facility list cleanup</w:t>
            </w:r>
          </w:p>
        </w:tc>
        <w:tc>
          <w:tcPr>
            <w:tcW w:type="dxa" w:w="3456"/>
            <w:tcMar>
              <w:top w:w="85" w:type="dxa"/>
              <w:start w:w="95" w:type="dxa"/>
              <w:bottom w:w="85" w:type="dxa"/>
              <w:end w:w="95" w:type="dxa"/>
            </w:tcMar>
            <w:vAlign w:val="center"/>
          </w:tcPr>
          <w:p>
            <w:pPr>
              <w:spacing w:after="0" w:line="252" w:lineRule="auto"/>
              <w:jc w:val="left"/>
            </w:pPr>
            <w:r>
              <w:rPr>
                <w:rFonts w:ascii="Arial" w:hAnsi="Arial"/>
                <w:color w:val="000000"/>
                <w:sz w:val="15"/>
              </w:rPr>
              <w:t>Confirm 8 reported absences, 46 review cases and 37 ground-only returns.</w:t>
            </w:r>
          </w:p>
        </w:tc>
        <w:tc>
          <w:tcPr>
            <w:tcW w:type="dxa" w:w="2088"/>
            <w:tcMar>
              <w:top w:w="85" w:type="dxa"/>
              <w:start w:w="95" w:type="dxa"/>
              <w:bottom w:w="85" w:type="dxa"/>
              <w:end w:w="95" w:type="dxa"/>
            </w:tcMar>
            <w:vAlign w:val="center"/>
          </w:tcPr>
          <w:p>
            <w:pPr>
              <w:spacing w:after="0" w:line="252" w:lineRule="auto"/>
              <w:jc w:val="left"/>
            </w:pPr>
            <w:r>
              <w:rPr>
                <w:rFonts w:ascii="Arial" w:hAnsi="Arial"/>
                <w:color w:val="000000"/>
                <w:sz w:val="15"/>
              </w:rPr>
              <w:t>Local government and programme reconciliation team</w:t>
            </w:r>
          </w:p>
        </w:tc>
        <w:tc>
          <w:tcPr>
            <w:tcW w:type="dxa" w:w="2160"/>
            <w:tcMar>
              <w:top w:w="85" w:type="dxa"/>
              <w:start w:w="95" w:type="dxa"/>
              <w:bottom w:w="85" w:type="dxa"/>
              <w:end w:w="95" w:type="dxa"/>
            </w:tcMar>
            <w:vAlign w:val="center"/>
          </w:tcPr>
          <w:p>
            <w:pPr>
              <w:spacing w:after="0" w:line="252" w:lineRule="auto"/>
              <w:jc w:val="left"/>
            </w:pPr>
            <w:r>
              <w:rPr>
                <w:rFonts w:ascii="Arial" w:hAnsi="Arial"/>
                <w:color w:val="000000"/>
                <w:sz w:val="15"/>
              </w:rPr>
              <w:t>Approved master-list decision</w:t>
            </w:r>
          </w:p>
        </w:tc>
      </w:tr>
      <w:tr>
        <w:trPr>
          <w:cantSplit/>
        </w:trPr>
        <w:tc>
          <w:tcPr>
            <w:tcW w:type="dxa" w:w="64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2</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Custody and movement</w:t>
            </w:r>
          </w:p>
        </w:tc>
        <w:tc>
          <w:tcPr>
            <w:tcW w:type="dxa" w:w="34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Document the three Zombo relocations and two facility replacements, then update the current custodian.</w:t>
            </w:r>
          </w:p>
        </w:tc>
        <w:tc>
          <w:tcPr>
            <w:tcW w:type="dxa" w:w="208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Local government accounting officer and facility head</w:t>
            </w:r>
          </w:p>
        </w:tc>
        <w:tc>
          <w:tcPr>
            <w:tcW w:type="dxa" w:w="216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Signed transfer or correction record</w:t>
            </w:r>
          </w:p>
        </w:tc>
      </w:tr>
      <w:tr>
        <w:trPr>
          <w:cantSplit/>
        </w:trPr>
        <w:tc>
          <w:tcPr>
            <w:tcW w:type="dxa" w:w="648"/>
            <w:tcMar>
              <w:top w:w="85" w:type="dxa"/>
              <w:start w:w="95" w:type="dxa"/>
              <w:bottom w:w="85" w:type="dxa"/>
              <w:end w:w="95" w:type="dxa"/>
            </w:tcMar>
            <w:vAlign w:val="center"/>
          </w:tcPr>
          <w:p>
            <w:pPr>
              <w:spacing w:after="0" w:line="252" w:lineRule="auto"/>
              <w:jc w:val="left"/>
            </w:pPr>
            <w:r>
              <w:rPr>
                <w:rFonts w:ascii="Arial" w:hAnsi="Arial"/>
                <w:color w:val="000000"/>
                <w:sz w:val="15"/>
              </w:rPr>
              <w:t>3</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5"/>
              </w:rPr>
              <w:t>Engraving and tags</w:t>
            </w:r>
          </w:p>
        </w:tc>
        <w:tc>
          <w:tcPr>
            <w:tcW w:type="dxa" w:w="3456"/>
            <w:tcMar>
              <w:top w:w="85" w:type="dxa"/>
              <w:start w:w="95" w:type="dxa"/>
              <w:bottom w:w="85" w:type="dxa"/>
              <w:end w:w="95" w:type="dxa"/>
            </w:tcMar>
            <w:vAlign w:val="center"/>
          </w:tcPr>
          <w:p>
            <w:pPr>
              <w:spacing w:after="0" w:line="252" w:lineRule="auto"/>
              <w:jc w:val="left"/>
            </w:pPr>
            <w:r>
              <w:rPr>
                <w:rFonts w:ascii="Arial" w:hAnsi="Arial"/>
                <w:color w:val="000000"/>
                <w:sz w:val="15"/>
              </w:rPr>
              <w:t>Inspect explicit non-engraving cases and complete the 148,905 rows without a tag where tagging is applicable.</w:t>
            </w:r>
          </w:p>
        </w:tc>
        <w:tc>
          <w:tcPr>
            <w:tcW w:type="dxa" w:w="2088"/>
            <w:tcMar>
              <w:top w:w="85" w:type="dxa"/>
              <w:start w:w="95" w:type="dxa"/>
              <w:bottom w:w="85" w:type="dxa"/>
              <w:end w:w="95" w:type="dxa"/>
            </w:tcMar>
            <w:vAlign w:val="center"/>
          </w:tcPr>
          <w:p>
            <w:pPr>
              <w:spacing w:after="0" w:line="252" w:lineRule="auto"/>
              <w:jc w:val="left"/>
            </w:pPr>
            <w:r>
              <w:rPr>
                <w:rFonts w:ascii="Arial" w:hAnsi="Arial"/>
                <w:color w:val="000000"/>
                <w:sz w:val="15"/>
              </w:rPr>
              <w:t>Facility custodian and verification team</w:t>
            </w:r>
          </w:p>
        </w:tc>
        <w:tc>
          <w:tcPr>
            <w:tcW w:type="dxa" w:w="2160"/>
            <w:tcMar>
              <w:top w:w="85" w:type="dxa"/>
              <w:start w:w="95" w:type="dxa"/>
              <w:bottom w:w="85" w:type="dxa"/>
              <w:end w:w="95" w:type="dxa"/>
            </w:tcMar>
            <w:vAlign w:val="center"/>
          </w:tcPr>
          <w:p>
            <w:pPr>
              <w:spacing w:after="0" w:line="252" w:lineRule="auto"/>
              <w:jc w:val="left"/>
            </w:pPr>
            <w:r>
              <w:rPr>
                <w:rFonts w:ascii="Arial" w:hAnsi="Arial"/>
                <w:color w:val="000000"/>
                <w:sz w:val="15"/>
              </w:rPr>
              <w:t>Readable mark, tag list and photo reference</w:t>
            </w:r>
          </w:p>
        </w:tc>
      </w:tr>
      <w:tr>
        <w:trPr>
          <w:cantSplit/>
        </w:trPr>
        <w:tc>
          <w:tcPr>
            <w:tcW w:type="dxa" w:w="64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4</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Use and commissioning</w:t>
            </w:r>
          </w:p>
        </w:tc>
        <w:tc>
          <w:tcPr>
            <w:tcW w:type="dxa" w:w="34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Review 1,265 boxed or unopened records and 6,713 not-yet-used records.</w:t>
            </w:r>
          </w:p>
        </w:tc>
        <w:tc>
          <w:tcPr>
            <w:tcW w:type="dxa" w:w="208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 head and sector engineer</w:t>
            </w:r>
          </w:p>
        </w:tc>
        <w:tc>
          <w:tcPr>
            <w:tcW w:type="dxa" w:w="216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Use decision, blocker and target date</w:t>
            </w:r>
          </w:p>
        </w:tc>
      </w:tr>
      <w:tr>
        <w:trPr>
          <w:cantSplit/>
        </w:trPr>
        <w:tc>
          <w:tcPr>
            <w:tcW w:type="dxa" w:w="648"/>
            <w:tcMar>
              <w:top w:w="85" w:type="dxa"/>
              <w:start w:w="95" w:type="dxa"/>
              <w:bottom w:w="85" w:type="dxa"/>
              <w:end w:w="95" w:type="dxa"/>
            </w:tcMar>
            <w:vAlign w:val="center"/>
          </w:tcPr>
          <w:p>
            <w:pPr>
              <w:spacing w:after="0" w:line="252" w:lineRule="auto"/>
              <w:jc w:val="left"/>
            </w:pPr>
            <w:r>
              <w:rPr>
                <w:rFonts w:ascii="Arial" w:hAnsi="Arial"/>
                <w:color w:val="000000"/>
                <w:sz w:val="15"/>
              </w:rPr>
              <w:t>5</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5"/>
              </w:rPr>
              <w:t>Maintenance and security</w:t>
            </w:r>
          </w:p>
        </w:tc>
        <w:tc>
          <w:tcPr>
            <w:tcW w:type="dxa" w:w="3456"/>
            <w:tcMar>
              <w:top w:w="85" w:type="dxa"/>
              <w:start w:w="95" w:type="dxa"/>
              <w:bottom w:w="85" w:type="dxa"/>
              <w:end w:w="95" w:type="dxa"/>
            </w:tcMar>
            <w:vAlign w:val="center"/>
          </w:tcPr>
          <w:p>
            <w:pPr>
              <w:spacing w:after="0" w:line="252" w:lineRule="auto"/>
              <w:jc w:val="left"/>
            </w:pPr>
            <w:r>
              <w:rPr>
                <w:rFonts w:ascii="Arial" w:hAnsi="Arial"/>
                <w:color w:val="000000"/>
                <w:sz w:val="15"/>
              </w:rPr>
              <w:t>Open work orders for explicit repair needs and close theft, missing and security-control cases with documentary evidence.</w:t>
            </w:r>
          </w:p>
        </w:tc>
        <w:tc>
          <w:tcPr>
            <w:tcW w:type="dxa" w:w="2088"/>
            <w:tcMar>
              <w:top w:w="85" w:type="dxa"/>
              <w:start w:w="95" w:type="dxa"/>
              <w:bottom w:w="85" w:type="dxa"/>
              <w:end w:w="95" w:type="dxa"/>
            </w:tcMar>
            <w:vAlign w:val="center"/>
          </w:tcPr>
          <w:p>
            <w:pPr>
              <w:spacing w:after="0" w:line="252" w:lineRule="auto"/>
              <w:jc w:val="left"/>
            </w:pPr>
            <w:r>
              <w:rPr>
                <w:rFonts w:ascii="Arial" w:hAnsi="Arial"/>
                <w:color w:val="000000"/>
                <w:sz w:val="15"/>
              </w:rPr>
              <w:t>Facility head, LG engineer and security officer</w:t>
            </w:r>
          </w:p>
        </w:tc>
        <w:tc>
          <w:tcPr>
            <w:tcW w:type="dxa" w:w="2160"/>
            <w:tcMar>
              <w:top w:w="85" w:type="dxa"/>
              <w:start w:w="95" w:type="dxa"/>
              <w:bottom w:w="85" w:type="dxa"/>
              <w:end w:w="95" w:type="dxa"/>
            </w:tcMar>
            <w:vAlign w:val="center"/>
          </w:tcPr>
          <w:p>
            <w:pPr>
              <w:spacing w:after="0" w:line="252" w:lineRule="auto"/>
              <w:jc w:val="left"/>
            </w:pPr>
            <w:r>
              <w:rPr>
                <w:rFonts w:ascii="Arial" w:hAnsi="Arial"/>
                <w:color w:val="000000"/>
                <w:sz w:val="15"/>
              </w:rPr>
              <w:t>Work order or incident closure</w:t>
            </w:r>
          </w:p>
        </w:tc>
      </w:tr>
      <w:tr>
        <w:trPr>
          <w:cantSplit/>
        </w:trPr>
        <w:tc>
          <w:tcPr>
            <w:tcW w:type="dxa" w:w="64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6</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Cost completion</w:t>
            </w:r>
          </w:p>
        </w:tc>
        <w:tc>
          <w:tcPr>
            <w:tcW w:type="dxa" w:w="34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Prepare peer-cost schedules for 156,572 missing-cost records, starting with high-value and high-risk assets.</w:t>
            </w:r>
          </w:p>
        </w:tc>
        <w:tc>
          <w:tcPr>
            <w:tcW w:type="dxa" w:w="208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LG finance team with programme review</w:t>
            </w:r>
          </w:p>
        </w:tc>
        <w:tc>
          <w:tcPr>
            <w:tcW w:type="dxa" w:w="216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Approved source or estimated cost trail</w:t>
            </w:r>
          </w:p>
        </w:tc>
      </w:tr>
    </w:tbl>
    <w:p>
      <w:pPr>
        <w:spacing w:after="20" w:before="0"/>
      </w:pPr>
    </w:p>
    <w:p>
      <w:pPr>
        <w:pStyle w:val="Heading2"/>
        <w:keepNext/>
      </w:pPr>
      <w:r>
        <w:rPr>
          <w:rFonts w:ascii="Arial" w:hAnsi="Arial"/>
        </w:rPr>
        <w:t>Close out test</w:t>
      </w:r>
    </w:p>
    <w:p>
      <w:pPr>
        <w:pStyle w:val="ListBullet"/>
      </w:pPr>
      <w:r>
        <w:rPr>
          <w:rFonts w:ascii="Arial" w:hAnsi="Arial"/>
        </w:rPr>
        <w:t>Every master facility has one approved status and, where applicable, a matched return.</w:t>
      </w:r>
    </w:p>
    <w:p>
      <w:pPr>
        <w:pStyle w:val="ListBullet"/>
      </w:pPr>
      <w:r>
        <w:rPr>
          <w:rFonts w:ascii="Arial" w:hAnsi="Arial"/>
        </w:rPr>
        <w:t>Every ground-only return is linked to a master facility, formally added, or documented as outside scope.</w:t>
      </w:r>
    </w:p>
    <w:p>
      <w:pPr>
        <w:pStyle w:val="ListBullet"/>
      </w:pPr>
      <w:r>
        <w:rPr>
          <w:rFonts w:ascii="Arial" w:hAnsi="Arial"/>
        </w:rPr>
        <w:t>Every moved asset has a current custodian and an approved transfer trail.</w:t>
      </w:r>
    </w:p>
    <w:p>
      <w:pPr>
        <w:pStyle w:val="ListBullet"/>
      </w:pPr>
      <w:r>
        <w:rPr>
          <w:rFonts w:ascii="Arial" w:hAnsi="Arial"/>
        </w:rPr>
        <w:t>Every high-value movable asset has a readable ownership mark and a unique tag or serial number where applicable.</w:t>
      </w:r>
    </w:p>
    <w:p>
      <w:pPr>
        <w:pStyle w:val="ListBullet"/>
      </w:pPr>
      <w:r>
        <w:rPr>
          <w:rFonts w:ascii="Arial" w:hAnsi="Arial"/>
        </w:rPr>
        <w:t>Every non-functional, boxed, stored or unused asset has a recorded action and owner.</w:t>
      </w:r>
    </w:p>
    <w:p>
      <w:pPr>
        <w:pStyle w:val="ListBullet"/>
      </w:pPr>
      <w:r>
        <w:rPr>
          <w:rFonts w:ascii="Arial" w:hAnsi="Arial"/>
        </w:rPr>
        <w:t>Every cost is identified as source, allocated from a valid homogeneous line total, or estimated under an approved peer method.</w:t>
      </w:r>
    </w:p>
    <w:p>
      <w:r>
        <w:rPr>
          <w:rFonts w:ascii="Arial" w:hAnsi="Arial"/>
        </w:rPr>
        <w:br w:type="page"/>
      </w:r>
    </w:p>
    <w:p>
      <w:pPr>
        <w:pStyle w:val="Heading1"/>
        <w:keepNext/>
      </w:pPr>
      <w:r>
        <w:rPr>
          <w:rFonts w:ascii="Arial" w:hAnsi="Arial"/>
        </w:rPr>
        <w:t>Appendix A Ground returns without a confirmed master match</w:t>
      </w:r>
    </w:p>
    <w:p>
      <w:r>
        <w:rPr>
          <w:rFonts w:ascii="Arial" w:hAnsi="Arial"/>
        </w:rPr>
        <w:t>These returns should not be counted as confirmed additional facilities until the relevant local government approves the identity and the programme updates the master list.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792"/>
            <w:shd w:fill="17365D"/>
            <w:tcMar>
              <w:top w:w="105" w:type="dxa"/>
              <w:start w:w="95" w:type="dxa"/>
              <w:bottom w:w="105" w:type="dxa"/>
              <w:end w:w="95" w:type="dxa"/>
            </w:tcMar>
            <w:vAlign w:val="center"/>
          </w:tcPr>
          <w:p>
            <w:pPr>
              <w:spacing w:after="0"/>
              <w:jc w:val="left"/>
            </w:pPr>
            <w:r>
              <w:rPr>
                <w:rFonts w:ascii="Arial" w:hAnsi="Arial"/>
                <w:b/>
                <w:color w:val="FFFFFF"/>
                <w:sz w:val="15"/>
              </w:rPr>
              <w:t>ID</w:t>
            </w:r>
          </w:p>
        </w:tc>
        <w:tc>
          <w:tcPr>
            <w:tcW w:type="dxa" w:w="1800"/>
            <w:shd w:fill="17365D"/>
            <w:tcMar>
              <w:top w:w="105" w:type="dxa"/>
              <w:start w:w="95" w:type="dxa"/>
              <w:bottom w:w="105" w:type="dxa"/>
              <w:end w:w="95" w:type="dxa"/>
            </w:tcMar>
            <w:vAlign w:val="center"/>
          </w:tcPr>
          <w:p>
            <w:pPr>
              <w:spacing w:after="0"/>
              <w:jc w:val="left"/>
            </w:pPr>
            <w:r>
              <w:rPr>
                <w:rFonts w:ascii="Arial" w:hAnsi="Arial"/>
                <w:b/>
                <w:color w:val="FFFFFF"/>
                <w:sz w:val="15"/>
              </w:rPr>
              <w:t>Local government</w:t>
            </w:r>
          </w:p>
        </w:tc>
        <w:tc>
          <w:tcPr>
            <w:tcW w:type="dxa" w:w="3024"/>
            <w:shd w:fill="17365D"/>
            <w:tcMar>
              <w:top w:w="105" w:type="dxa"/>
              <w:start w:w="95" w:type="dxa"/>
              <w:bottom w:w="105" w:type="dxa"/>
              <w:end w:w="95" w:type="dxa"/>
            </w:tcMar>
            <w:vAlign w:val="center"/>
          </w:tcPr>
          <w:p>
            <w:pPr>
              <w:spacing w:after="0"/>
              <w:jc w:val="left"/>
            </w:pPr>
            <w:r>
              <w:rPr>
                <w:rFonts w:ascii="Arial" w:hAnsi="Arial"/>
                <w:b/>
                <w:color w:val="FFFFFF"/>
                <w:sz w:val="15"/>
              </w:rPr>
              <w:t>Facility in return</w:t>
            </w:r>
          </w:p>
        </w:tc>
        <w:tc>
          <w:tcPr>
            <w:tcW w:type="dxa" w:w="4464"/>
            <w:shd w:fill="17365D"/>
            <w:tcMar>
              <w:top w:w="105" w:type="dxa"/>
              <w:start w:w="95" w:type="dxa"/>
              <w:bottom w:w="105" w:type="dxa"/>
              <w:end w:w="95" w:type="dxa"/>
            </w:tcMar>
            <w:vAlign w:val="center"/>
          </w:tcPr>
          <w:p>
            <w:pPr>
              <w:spacing w:after="0"/>
              <w:jc w:val="left"/>
            </w:pPr>
            <w:r>
              <w:rPr>
                <w:rFonts w:ascii="Arial" w:hAnsi="Arial"/>
                <w:b/>
                <w:color w:val="FFFFFF"/>
                <w:sz w:val="15"/>
              </w:rPr>
              <w:t>Follow up note</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X020</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Apac</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Arocha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X028</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Bundibugyo</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Busanga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X008</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Bunyangabu</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Katungunda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Named in submitted register; no confirmed master match. Asset section: LOCAL GOVT: BUNYANGABU; FACILITY: KATUNGUNDA</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X003</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Bushenyi</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Kabushaho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Workbook is filed under Mitooma, but its facility heading explicitly says Bushenyi. No exact master-list school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X900</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Busia MC</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Sofia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identifies Sofia Health Centre III in Eastern Division, Busia Municipal Council. It is distinct from the invalid master label Busia Eastern Division.</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X035</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Buvuma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Buvuma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X032</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Fort-Portal City</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Bukuuku Community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X037</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Gomba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Kyayi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X029</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Kabarole</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Iruhura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X030</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Kabarole</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Nyambuusa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X043</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Kagadi</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Muggi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Register says Kagadi; master Muggi is in Mayuge. Confirm the source LG. This is an unresolved return identity, not a confirmed additional Kagadi facility.</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X009</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Kakumiro</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Mukoora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Named in submitted register; no confirmed master match. Asset section: LOCAL GOVT: KAKUMURO; FACILITY: MUKOORA</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X010</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Kakumiro</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Silumira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Named in submitted register; no confirmed master match. Asset section: LOCAL GOVT: KAKUMIRO; FACILITY: SILUMIRA</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X036</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Kalangala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Nekemiya Memorial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X026</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Kanungu</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Bushogye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X022</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Karenga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Lokori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X011</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Kasanda</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Namabaale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Team 30 return confirms Namabaale Health Centre III in Kasanda; no confirmed master-list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X007</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Kasese</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Rukoki General Hospital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Named in submitted register; no confirmed master match. Asset section: LOCAL GOVT: KASESE; FACILITY: RUKOKI GENERAL HOSPITAL</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X034</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Kiboga</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Lwamata Town Council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X019</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Lira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Onywako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Form states that assets were reported by the in-charge and were not physically verified. Chat names Onywako on ground, but gives no one-to-one replacement for Alik.</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X039</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Lwengo</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Lwengenyi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X040</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Lwengo</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Mbirizi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X041</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Lyantonde</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Rwamabara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X016</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Maracha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Odupiri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X042</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Mbarara</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Rutooma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New register heading says Mbarara without district/city distinction. It does not resolve the missing Rutooma in Bushenyi.</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X004</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Mitooma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Kitojo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Named in submitted register; no confirmed master match. Asset section: Name of LG: MITOOMA DISTRICT Name of SCHOOL: KITOJO SEED SCHOOL</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X021</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Moroto</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Rupa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X038</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Mpigi</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Wamatovu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X033</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Mubende</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Nakawala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X031</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Ntoroko</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Butungama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X025</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Rubanda</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Kibuzigye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X027</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Rukungiri</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Bikurungu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X005</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Sheema</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Migina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Named in submitted register; no confirmed master match. Asset section: MIGINA HCIII, SHEEMA DC</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X024</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Sironko</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Simu Pondo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X017</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Yumbe</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Lobe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X018</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Yumbe</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Nyori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X013</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Zombo</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Amei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bl>
    <w:p>
      <w:pPr>
        <w:spacing w:after="20" w:before="0"/>
      </w:pPr>
    </w:p>
    <w:p>
      <w:r>
        <w:rPr>
          <w:rFonts w:ascii="Arial" w:hAnsi="Arial"/>
        </w:rPr>
        <w:br w:type="page"/>
      </w:r>
    </w:p>
    <w:p>
      <w:pPr>
        <w:pStyle w:val="Heading1"/>
        <w:keepNext/>
      </w:pPr>
      <w:r>
        <w:rPr>
          <w:rFonts w:ascii="Arial" w:hAnsi="Arial"/>
        </w:rPr>
        <w:t>Appendix B Data definitions and counting rules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592"/>
            <w:shd w:fill="17365D"/>
            <w:tcMar>
              <w:top w:w="105" w:type="dxa"/>
              <w:start w:w="95" w:type="dxa"/>
              <w:bottom w:w="105" w:type="dxa"/>
              <w:end w:w="95" w:type="dxa"/>
            </w:tcMar>
            <w:vAlign w:val="center"/>
          </w:tcPr>
          <w:p>
            <w:pPr>
              <w:spacing w:after="0"/>
              <w:jc w:val="left"/>
            </w:pPr>
            <w:r>
              <w:rPr>
                <w:rFonts w:ascii="Arial" w:hAnsi="Arial"/>
                <w:b/>
                <w:color w:val="FFFFFF"/>
                <w:sz w:val="16"/>
              </w:rPr>
              <w:t>Term</w:t>
            </w:r>
          </w:p>
        </w:tc>
        <w:tc>
          <w:tcPr>
            <w:tcW w:type="dxa" w:w="7488"/>
            <w:shd w:fill="17365D"/>
            <w:tcMar>
              <w:top w:w="105" w:type="dxa"/>
              <w:start w:w="95" w:type="dxa"/>
              <w:bottom w:w="105" w:type="dxa"/>
              <w:end w:w="95" w:type="dxa"/>
            </w:tcMar>
            <w:vAlign w:val="center"/>
          </w:tcPr>
          <w:p>
            <w:pPr>
              <w:spacing w:after="0"/>
              <w:jc w:val="left"/>
            </w:pPr>
            <w:r>
              <w:rPr>
                <w:rFonts w:ascii="Arial" w:hAnsi="Arial"/>
                <w:b/>
                <w:color w:val="FFFFFF"/>
                <w:sz w:val="16"/>
              </w:rPr>
              <w:t>Definition</w:t>
            </w:r>
          </w:p>
        </w:tc>
      </w:tr>
      <w:tr>
        <w:trPr>
          <w:cantSplit/>
        </w:trPr>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Coverage</w:t>
            </w:r>
          </w:p>
        </w:tc>
        <w:tc>
          <w:tcPr>
            <w:tcW w:type="dxa" w:w="7488"/>
            <w:tcMar>
              <w:top w:w="85" w:type="dxa"/>
              <w:start w:w="95" w:type="dxa"/>
              <w:bottom w:w="85" w:type="dxa"/>
              <w:end w:w="95" w:type="dxa"/>
            </w:tcMar>
            <w:vAlign w:val="center"/>
          </w:tcPr>
          <w:p>
            <w:pPr>
              <w:spacing w:after="0" w:line="252" w:lineRule="auto"/>
              <w:jc w:val="left"/>
            </w:pPr>
            <w:r>
              <w:rPr>
                <w:rFonts w:ascii="Arial" w:hAnsi="Arial"/>
                <w:color w:val="000000"/>
                <w:sz w:val="16"/>
              </w:rPr>
              <w:t>Every master facility except No return. Coverage does not mean every asset was physically inspected.</w:t>
            </w:r>
          </w:p>
        </w:tc>
      </w:tr>
      <w:tr>
        <w:trPr>
          <w:cantSplit/>
        </w:trPr>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Field evidence</w:t>
            </w:r>
          </w:p>
        </w:tc>
        <w:tc>
          <w:tcPr>
            <w:tcW w:type="dxa" w:w="748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Identifiable facility information in a facility return or consolidated register.</w:t>
            </w:r>
          </w:p>
        </w:tc>
      </w:tr>
      <w:tr>
        <w:trPr>
          <w:cantSplit/>
        </w:trPr>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Asset record</w:t>
            </w:r>
          </w:p>
        </w:tc>
        <w:tc>
          <w:tcPr>
            <w:tcW w:type="dxa" w:w="7488"/>
            <w:tcMar>
              <w:top w:w="85" w:type="dxa"/>
              <w:start w:w="95" w:type="dxa"/>
              <w:bottom w:w="85" w:type="dxa"/>
              <w:end w:w="95" w:type="dxa"/>
            </w:tcMar>
            <w:vAlign w:val="center"/>
          </w:tcPr>
          <w:p>
            <w:pPr>
              <w:spacing w:after="0" w:line="252" w:lineRule="auto"/>
              <w:jc w:val="left"/>
            </w:pPr>
            <w:r>
              <w:rPr>
                <w:rFonts w:ascii="Arial" w:hAnsi="Arial"/>
                <w:color w:val="000000"/>
                <w:sz w:val="16"/>
              </w:rPr>
              <w:t>One retained row in the prepared asset register. A reliable group quantity is expanded to one row per item.</w:t>
            </w:r>
          </w:p>
        </w:tc>
      </w:tr>
      <w:tr>
        <w:trPr>
          <w:cantSplit/>
        </w:trPr>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Explicit UGiFT marking</w:t>
            </w:r>
          </w:p>
        </w:tc>
        <w:tc>
          <w:tcPr>
            <w:tcW w:type="dxa" w:w="748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The source text states that the asset was engraved, labelled, tagged, marked or named as UGiFT.</w:t>
            </w:r>
          </w:p>
        </w:tc>
      </w:tr>
      <w:tr>
        <w:trPr>
          <w:cantSplit/>
        </w:trPr>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Tag present</w:t>
            </w:r>
          </w:p>
        </w:tc>
        <w:tc>
          <w:tcPr>
            <w:tcW w:type="dxa" w:w="7488"/>
            <w:tcMar>
              <w:top w:w="85" w:type="dxa"/>
              <w:start w:w="95" w:type="dxa"/>
              <w:bottom w:w="85" w:type="dxa"/>
              <w:end w:w="95" w:type="dxa"/>
            </w:tcMar>
            <w:vAlign w:val="center"/>
          </w:tcPr>
          <w:p>
            <w:pPr>
              <w:spacing w:after="0" w:line="252" w:lineRule="auto"/>
              <w:jc w:val="left"/>
            </w:pPr>
            <w:r>
              <w:rPr>
                <w:rFonts w:ascii="Arial" w:hAnsi="Arial"/>
                <w:color w:val="000000"/>
                <w:sz w:val="16"/>
              </w:rPr>
              <w:t>A tag value is recorded. This does not prove that the tag is permanent, legible or a UGiFT ownership mark.</w:t>
            </w:r>
          </w:p>
        </w:tc>
      </w:tr>
      <w:tr>
        <w:trPr>
          <w:cantSplit/>
        </w:trPr>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Condition positive only</w:t>
            </w:r>
          </w:p>
        </w:tc>
        <w:tc>
          <w:tcPr>
            <w:tcW w:type="dxa" w:w="748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The source uses positive operational wording and no negative wording for that record.</w:t>
            </w:r>
          </w:p>
        </w:tc>
      </w:tr>
      <w:tr>
        <w:trPr>
          <w:cantSplit/>
        </w:trPr>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Condition mixed</w:t>
            </w:r>
          </w:p>
        </w:tc>
        <w:tc>
          <w:tcPr>
            <w:tcW w:type="dxa" w:w="7488"/>
            <w:tcMar>
              <w:top w:w="85" w:type="dxa"/>
              <w:start w:w="95" w:type="dxa"/>
              <w:bottom w:w="85" w:type="dxa"/>
              <w:end w:w="95" w:type="dxa"/>
            </w:tcMar>
            <w:vAlign w:val="center"/>
          </w:tcPr>
          <w:p>
            <w:pPr>
              <w:spacing w:after="0" w:line="252" w:lineRule="auto"/>
              <w:jc w:val="left"/>
            </w:pPr>
            <w:r>
              <w:rPr>
                <w:rFonts w:ascii="Arial" w:hAnsi="Arial"/>
                <w:color w:val="000000"/>
                <w:sz w:val="16"/>
              </w:rPr>
              <w:t>A group-level source line contains both positive and negative wording. Individual units cannot be separated safely.</w:t>
            </w:r>
          </w:p>
        </w:tc>
      </w:tr>
      <w:tr>
        <w:trPr>
          <w:cantSplit/>
        </w:trPr>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Boxed or unopened</w:t>
            </w:r>
          </w:p>
        </w:tc>
        <w:tc>
          <w:tcPr>
            <w:tcW w:type="dxa" w:w="748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The source explicitly mentions a box, carton, unopened packaging or a still-boxed item.</w:t>
            </w:r>
          </w:p>
        </w:tc>
      </w:tr>
      <w:tr>
        <w:trPr>
          <w:cantSplit/>
        </w:trPr>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Known cost</w:t>
            </w:r>
          </w:p>
        </w:tc>
        <w:tc>
          <w:tcPr>
            <w:tcW w:type="dxa" w:w="7488"/>
            <w:tcMar>
              <w:top w:w="85" w:type="dxa"/>
              <w:start w:w="95" w:type="dxa"/>
              <w:bottom w:w="85" w:type="dxa"/>
              <w:end w:w="95" w:type="dxa"/>
            </w:tcMar>
            <w:vAlign w:val="center"/>
          </w:tcPr>
          <w:p>
            <w:pPr>
              <w:spacing w:after="0" w:line="252" w:lineRule="auto"/>
              <w:jc w:val="left"/>
            </w:pPr>
            <w:r>
              <w:rPr>
                <w:rFonts w:ascii="Arial" w:hAnsi="Arial"/>
                <w:color w:val="000000"/>
                <w:sz w:val="16"/>
              </w:rPr>
              <w:t>A supported positive unit cost is retained from the source. It is not an estimated replacement value.</w:t>
            </w:r>
          </w:p>
        </w:tc>
      </w:tr>
      <w:tr>
        <w:trPr>
          <w:cantSplit/>
        </w:trPr>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Estimated cost</w:t>
            </w:r>
          </w:p>
        </w:tc>
        <w:tc>
          <w:tcPr>
            <w:tcW w:type="dxa" w:w="748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A separate, approved amount derived from comparable assets under the peer method. It should never replace the source value silently.</w:t>
            </w:r>
          </w:p>
        </w:tc>
      </w:tr>
    </w:tbl>
    <w:p>
      <w:pPr>
        <w:spacing w:after="20" w:before="0"/>
      </w:pPr>
    </w:p>
    <w:p>
      <w:pPr>
        <w:pStyle w:val="Heading2"/>
        <w:keepNext/>
      </w:pPr>
      <w:r>
        <w:rPr>
          <w:rFonts w:ascii="Arial" w:hAnsi="Arial"/>
        </w:rPr>
        <w:t>Source files</w:t>
      </w:r>
    </w:p>
    <w:p>
      <w:pPr>
        <w:pStyle w:val="ListBullet"/>
      </w:pPr>
      <w:r>
        <w:rPr>
          <w:rFonts w:ascii="Arial" w:hAnsi="Arial"/>
        </w:rPr>
        <w:t>SCHOOLS BY DISTRICT AND HEALTH CENTRES.docx</w:t>
      </w:r>
    </w:p>
    <w:p>
      <w:pPr>
        <w:pStyle w:val="ListBullet"/>
      </w:pPr>
      <w:r>
        <w:rPr>
          <w:rFonts w:ascii="Arial" w:hAnsi="Arial"/>
        </w:rPr>
        <w:t>team-distributions.docx</w:t>
      </w:r>
    </w:p>
    <w:p>
      <w:pPr>
        <w:pStyle w:val="ListBullet"/>
      </w:pPr>
      <w:r>
        <w:rPr>
          <w:rFonts w:ascii="Arial" w:hAnsi="Arial"/>
        </w:rPr>
        <w:t>raw-data-grouped facility returns and evidence index</w:t>
      </w:r>
    </w:p>
    <w:p>
      <w:pPr>
        <w:pStyle w:val="ListBullet"/>
      </w:pPr>
      <w:r>
        <w:rPr>
          <w:rFonts w:ascii="Arial" w:hAnsi="Arial"/>
        </w:rPr>
        <w:t>facility-reconciliation.csv and facility-evidence-index.csv</w:t>
      </w:r>
    </w:p>
    <w:p>
      <w:pPr>
        <w:pStyle w:val="ListBullet"/>
      </w:pPr>
      <w:r>
        <w:rPr>
          <w:rFonts w:ascii="Arial" w:hAnsi="Arial"/>
        </w:rPr>
        <w:t>UgIFT Asset Register.xlsx</w:t>
      </w:r>
    </w:p>
    <w:p>
      <w:pPr>
        <w:pStyle w:val="ListBullet"/>
      </w:pPr>
      <w:r>
        <w:rPr>
          <w:rFonts w:ascii="Arial" w:hAnsi="Arial"/>
        </w:rPr>
        <w:t>Updated Attributes for Asset Categories.xlsx</w:t>
      </w:r>
    </w:p>
    <w:p>
      <w:pPr>
        <w:pStyle w:val="ListBullet"/>
      </w:pPr>
      <w:r>
        <w:rPr>
          <w:rFonts w:ascii="Arial" w:hAnsi="Arial"/>
        </w:rPr>
        <w:t>Location(3)2.xlsx</w:t>
      </w:r>
    </w:p>
    <w:p>
      <w:pPr>
        <w:pStyle w:val="ListBullet"/>
      </w:pPr>
      <w:r>
        <w:rPr>
          <w:rFonts w:ascii="Arial" w:hAnsi="Arial"/>
        </w:rPr>
        <w:t>GOU Asset Accounting Policies and Guidelines 2023.pdf</w:t>
      </w:r>
    </w:p>
    <w:p>
      <w:pPr>
        <w:pStyle w:val="Heading2"/>
        <w:keepNext/>
      </w:pPr>
      <w:r>
        <w:rPr>
          <w:rFonts w:ascii="Arial" w:hAnsi="Arial"/>
        </w:rPr>
        <w:t>Limitations</w:t>
      </w:r>
    </w:p>
    <w:p>
      <w:r>
        <w:rPr>
          <w:rFonts w:ascii="Arial" w:hAnsi="Arial"/>
        </w:rPr>
        <w:t>The source material mixes physical-verification forms, consolidated registers, photographs, supervisor messages and other schedules. Some condition statements apply to groups rather than individual items. Keyword screening helps find records for review, but it does not replace field inspection. Blank fields remain blank where the source did not support a value. Reported absences, relocations and unmatched facilities require local government confirmation before the master list or accounting records are changed.</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037"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666666"/>
        <w:sz w:val="16"/>
      </w:rPr>
      <w:t xml:space="preserve">Page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666666"/>
        <w:sz w:val="16"/>
      </w:rPr>
      <w:t xml:space="preserve">Page </w:t>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666666"/>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7365D"/>
        <w:sz w:val="16"/>
      </w:rPr>
      <w:t>UGiFT Asset Verification and Register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7365D"/>
        <w:sz w:val="16"/>
      </w:rPr>
      <w:t>UGiFT Asset Verification and Register Review</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7365D"/>
        <w:sz w:val="16"/>
      </w:rPr>
      <w:t>UGiFT Asset Verification and Register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UGiFT Asset Verification and Register Review Process Report</dc:title>
  <dc:subject>Facility reconciliation, asset condition, identification, custody, register quality and cost treatment</dc:subject>
  <dc:creator>UGiFT Asset Verification and Data Reconciliation Team</dc:creator>
  <cp:keywords>UGiFT, asset verification, facility reconciliation, asset register</cp:keywords>
  <dc:description>generated by python-docx</dc:description>
  <cp:lastModifiedBy/>
  <cp:revision>1</cp:revision>
  <dcterms:created xsi:type="dcterms:W3CDTF">2013-12-23T23:15:00Z</dcterms:created>
  <dcterms:modified xsi:type="dcterms:W3CDTF">2013-12-23T23:15:00Z</dcterms:modified>
  <cp:category/>
</cp:coreProperties>
</file>