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Field report on UgIFT asset verification</w:t>
      </w:r>
    </w:p>
    <w:p>
      <w:r>
        <w:rPr>
          <w:b/>
          <w:color w:val="1F4E79"/>
          <w:sz w:val="28"/>
        </w:rPr>
        <w:t>Table of Contents</w:t>
      </w:r>
    </w:p>
    <w:p>
      <w:pPr>
        <w:ind w:left="0" w:right="0"/>
        <w:spacing w:after="60"/>
      </w:pPr>
      <w:hyperlink w:anchor="toc_introduction" w:history="1">
        <w:r>
          <w:rPr>
            <w:color w:val="1F4E79"/>
            <w:u w:val="single"/>
            <w:sz w:val="22"/>
          </w:rPr>
          <w:t xml:space="preserve">Introduction</w:t>
        </w:r>
      </w:hyperlink>
    </w:p>
    <w:p>
      <w:pPr>
        <w:ind w:left="0" w:right="0"/>
        <w:spacing w:after="60"/>
      </w:pPr>
      <w:hyperlink w:anchor="toc_process_and_methodology" w:history="1">
        <w:r>
          <w:rPr>
            <w:color w:val="1F4E79"/>
            <w:u w:val="single"/>
            <w:sz w:val="22"/>
          </w:rPr>
          <w:t xml:space="preserve">Process and methodology</w:t>
        </w:r>
      </w:hyperlink>
    </w:p>
    <w:p>
      <w:pPr>
        <w:ind w:left="0" w:right="0"/>
        <w:spacing w:after="60"/>
      </w:pPr>
      <w:hyperlink w:anchor="toc_emerging_issues_and_challenges" w:history="1">
        <w:r>
          <w:rPr>
            <w:color w:val="1F4E79"/>
            <w:u w:val="single"/>
            <w:sz w:val="22"/>
          </w:rPr>
          <w:t xml:space="preserve">Emerging issues and challenges</w:t>
        </w:r>
      </w:hyperlink>
    </w:p>
    <w:p>
      <w:pPr>
        <w:ind w:left="0" w:right="0"/>
        <w:spacing w:after="60"/>
      </w:pPr>
      <w:hyperlink w:anchor="toc_recommendations" w:history="1">
        <w:r>
          <w:rPr>
            <w:color w:val="1F4E79"/>
            <w:u w:val="single"/>
            <w:sz w:val="22"/>
          </w:rPr>
          <w:t xml:space="preserve">Recommendations</w:t>
        </w:r>
      </w:hyperlink>
    </w:p>
    <w:tbl>
      <w:tblPr>
        <w:tblStyle w:val="TableGrid"/>
        <w:tblW w:type="auto" w:w="0"/>
        <w:tblLook w:firstColumn="1" w:firstRow="1" w:lastColumn="0" w:lastRow="0" w:noHBand="0" w:noVBand="1" w:val="04A0"/>
      </w:tblPr>
      <w:tblGrid>
        <w:gridCol w:w="4320"/>
        <w:gridCol w:w="4320"/>
      </w:tblGrid>
      <w:tr>
        <w:tc>
          <w:tcPr>
            <w:tcW w:type="dxa" w:w="4320"/>
          </w:tcPr>
          <w:p>
            <w:r>
              <w:rPr>
                <w:b/>
              </w:rPr>
            </w:r>
            <w:r>
              <w:rPr>
                <w:b/>
                <w:i w:val="0"/>
              </w:rPr>
              <w:t>Team</w:t>
            </w:r>
          </w:p>
        </w:tc>
        <w:tc>
          <w:tcPr>
            <w:tcW w:type="dxa" w:w="4320"/>
          </w:tcPr>
          <w:p>
            <w:r>
              <w:rPr>
                <w:b/>
              </w:rPr>
            </w:r>
            <w:r>
              <w:rPr>
                <w:b/>
                <w:i w:val="0"/>
              </w:rPr>
              <w:t>Team 10 - Mwesigye Joseph, Otema Emmanuel</w:t>
            </w:r>
          </w:p>
        </w:tc>
      </w:tr>
      <w:tr>
        <w:tc>
          <w:tcPr>
            <w:tcW w:type="dxa" w:w="4320"/>
          </w:tcPr>
          <w:p>
            <w:r/>
            <w:r>
              <w:rPr>
                <w:b w:val="0"/>
                <w:i w:val="0"/>
              </w:rPr>
              <w:t>Supervisor</w:t>
            </w:r>
          </w:p>
        </w:tc>
        <w:tc>
          <w:tcPr>
            <w:tcW w:type="dxa" w:w="4320"/>
          </w:tcPr>
          <w:p>
            <w:r/>
            <w:r>
              <w:rPr>
                <w:b w:val="0"/>
                <w:i w:val="0"/>
              </w:rPr>
              <w:t>Kassim Luminsa</w:t>
            </w:r>
          </w:p>
        </w:tc>
      </w:tr>
      <w:tr>
        <w:tc>
          <w:tcPr>
            <w:tcW w:type="dxa" w:w="4320"/>
          </w:tcPr>
          <w:p>
            <w:r/>
            <w:r>
              <w:rPr>
                <w:b w:val="0"/>
                <w:i w:val="0"/>
              </w:rPr>
              <w:t>Supervisor's contact</w:t>
            </w:r>
          </w:p>
        </w:tc>
        <w:tc>
          <w:tcPr>
            <w:tcW w:type="dxa" w:w="4320"/>
          </w:tcPr>
          <w:p>
            <w:r/>
            <w:r>
              <w:rPr>
                <w:b w:val="0"/>
                <w:i w:val="0"/>
              </w:rPr>
              <w:t>+256 702 806116</w:t>
            </w:r>
          </w:p>
        </w:tc>
      </w:tr>
      <w:tr>
        <w:tc>
          <w:tcPr>
            <w:tcW w:type="dxa" w:w="4320"/>
          </w:tcPr>
          <w:p>
            <w:r/>
            <w:r>
              <w:rPr>
                <w:b w:val="0"/>
                <w:i w:val="0"/>
              </w:rPr>
              <w:t>Dates worked</w:t>
            </w:r>
          </w:p>
        </w:tc>
        <w:tc>
          <w:tcPr>
            <w:tcW w:type="dxa" w:w="4320"/>
          </w:tcPr>
          <w:p>
            <w:r/>
            <w:r>
              <w:rPr>
                <w:b w:val="0"/>
                <w:i w:val="0"/>
              </w:rPr>
              <w:t>2026-08-24 to 2026-08-28, with a follow-up on 2026-08-31</w:t>
            </w:r>
          </w:p>
        </w:tc>
      </w:tr>
      <w:tr>
        <w:tc>
          <w:tcPr>
            <w:tcW w:type="dxa" w:w="4320"/>
          </w:tcPr>
          <w:p>
            <w:r/>
            <w:r>
              <w:rPr>
                <w:b w:val="0"/>
                <w:i w:val="0"/>
              </w:rPr>
              <w:t>Date of submission</w:t>
            </w:r>
          </w:p>
        </w:tc>
        <w:tc>
          <w:tcPr>
            <w:tcW w:type="dxa" w:w="4320"/>
          </w:tcPr>
          <w:p>
            <w:r/>
          </w:p>
        </w:tc>
      </w:tr>
    </w:tbl>
    <w:p>
      <w:pPr>
        <w:pStyle w:val="Heading1"/>
      </w:pPr>
      <w:bookmarkStart w:id="1" w:name="toc_introduction"/>
      <w:r>
        <w:t>Introduction</w:t>
      </w:r>
      <w:bookmarkEnd w:id="1"/>
    </w:p>
    <w:p>
      <w:r>
        <w:rPr>
          <w:b w:val="0"/>
          <w:i w:val="0"/>
        </w:rPr>
        <w:t>This team was given the southern cluster of Karamoja for the asset verification exercise: five local governments - Nakapiripirit, Amudat, Nabilatuk, Moroto and Napak - and the schools and health centres in them that the programme has built or equipped. The exercise sets out to establish, for each of those assets, who owns it, whether it works, whether it is being used, and where it is. Two researchers worked the cluster over five days, 24 to 28 August 2026, with a follow-up at Napak Seed Secondary School on 31 August.</w:t>
      </w:r>
    </w:p>
    <w:p>
      <w:pPr>
        <w:pStyle w:val="Heading1"/>
      </w:pPr>
      <w:bookmarkStart w:id="2" w:name="toc_process_and_methodology"/>
      <w:r>
        <w:t>Process and methodology</w:t>
      </w:r>
      <w:bookmarkEnd w:id="2"/>
    </w:p>
    <w:p>
      <w:r>
        <w:rPr>
          <w:b w:val="0"/>
          <w:i w:val="0"/>
        </w:rPr>
        <w:t>The team is Mwesigye Joseph and Otema Emmanuel, and the supervisor is Kassim Luminsa. The cluster was covered between them: Mwesigye Joseph took Nakapiripirit, then Amudat and Nabilatuk, Otema Emmanuel took Moroto and then Napak. Each facility below is recorded against the member who worked it, and each day against the local government it was worked in.</w:t>
      </w:r>
    </w:p>
    <w:p>
      <w:r>
        <w:rPr>
          <w:b w:val="0"/>
          <w:i w:val="0"/>
        </w:rPr>
        <w:t xml:space="preserve">All five local governments were covered. In each the intention was the same: call at the district first, obtain its record of assets, then work the facilities on the programme list one at a time, going round each with a member of its own staff, filling in the verification toolkit on site and recording the assets and their condition. Eleven facilities were worked and written up. </w:t>
      </w:r>
      <w:r>
        <w:rPr>
          <w:b/>
          <w:i w:val="0"/>
        </w:rPr>
        <w:t>Ten of them are verified</w:t>
      </w:r>
      <w:r>
        <w:rPr>
          <w:b w:val="0"/>
          <w:i w:val="0"/>
        </w:rPr>
        <w:t xml:space="preserve"> - Kalemungole HC III and Katikekire Seed School in Moroto, Lopei Seed Secondary School, Iriiri Seed Secondary School and Napak Seed Secondary School in Napak, both schools in Nakapiripirit, both schools in Amudat, and Lolachat Seed School in Nabilatuk, each by a named hand-filled copy. Every local government in this cluster now has at least one verified facility.</w:t>
      </w:r>
    </w:p>
    <w:p>
      <w:r>
        <w:rPr>
          <w:b w:val="0"/>
          <w:i w:val="0"/>
        </w:rPr>
        <w:t>The allocation for this team is 12 facilities across five local governments and the programme list names 11 of them, so one school is allocated without a name and has to be identified by the district.</w:t>
      </w:r>
    </w:p>
    <w:p>
      <w:r>
        <w:rPr>
          <w:b/>
          <w:i w:val="0"/>
        </w:rPr>
        <w:t>One of the eleven returns has no hand-filled register</w:t>
      </w:r>
      <w:r>
        <w:rPr>
          <w:b w:val="0"/>
          <w:i w:val="0"/>
        </w:rPr>
        <w:t xml:space="preserve"> and stands as reported only: Rupa Seed School in Moroto. The ten that are verified still fall short in other ways: nothing is engraved at nine of them, the discussion guide of Lopei Seed Secondary School did not come in, Iriiri Seed Secondary School answered only the first discussion question, and Katikekire Seed School left its furniture and ICT schedules blank. </w:t>
      </w:r>
      <w:r>
        <w:rPr>
          <w:b/>
          <w:i w:val="0"/>
        </w:rPr>
        <w:t>One school is still unnamed in the allocation</w:t>
      </w:r>
      <w:r>
        <w:rPr>
          <w:b w:val="0"/>
          <w:i w:val="0"/>
        </w:rPr>
        <w:t>: Nabilatuk is owed two schools and the programme list names only Lolachat Seed School.</w:t>
      </w:r>
    </w:p>
    <w:p>
      <w:pPr>
        <w:pStyle w:val="Heading1"/>
      </w:pPr>
      <w:bookmarkStart w:id="3" w:name="toc_emerging_issues_and_challenges"/>
      <w:r>
        <w:t>Emerging issues and challenges</w:t>
      </w:r>
      <w:bookmarkEnd w:id="3"/>
    </w:p>
    <w:p>
      <w:pPr>
        <w:pStyle w:val="ListBullet"/>
      </w:pPr>
      <w:r>
        <w:rPr>
          <w:b/>
          <w:i w:val="0"/>
        </w:rPr>
        <w:t>No local government in this cluster holds a record of its UgIFT assets.</w:t>
      </w:r>
      <w:r>
        <w:rPr>
          <w:b w:val="0"/>
          <w:i w:val="0"/>
        </w:rPr>
        <w:t xml:space="preserve"> Nakapiripirit's Chief Administrative Officer and District Education Officer both stated the district holds none; Amudat and Nabilatuk produced nothing at all; Napak produced a school's own register and not one of its own; Moroto produced a single allocation schedule page that names neither a local government nor a facility. There is nothing at district level against which any facility's holdings can be checked.</w:t>
      </w:r>
    </w:p>
    <w:p>
      <w:pPr>
        <w:pStyle w:val="ListBullet"/>
      </w:pPr>
      <w:r>
        <w:rPr>
          <w:b/>
          <w:i w:val="0"/>
        </w:rPr>
        <w:t>Where a facility keeps a record of its own, it does not identify what came through the programme.</w:t>
      </w:r>
      <w:r>
        <w:rPr>
          <w:b w:val="0"/>
          <w:i w:val="0"/>
        </w:rPr>
        <w:t xml:space="preserve"> Napak Seed Secondary School's bound asset register, Lopei Seed Secondary School's register and Kalita Seed School's own inventory all enter holdings line by line, and none of the three marks a single line as a UgIFT asset.</w:t>
      </w:r>
    </w:p>
    <w:p>
      <w:pPr>
        <w:pStyle w:val="ListBullet"/>
      </w:pPr>
      <w:r>
        <w:rPr>
          <w:b/>
          <w:i w:val="0"/>
        </w:rPr>
        <w:t>Engraving has been done at one facility out of eleven.</w:t>
      </w:r>
      <w:r>
        <w:rPr>
          <w:b w:val="0"/>
          <w:i w:val="0"/>
        </w:rPr>
        <w:t xml:space="preserve"> The equipment at Kalemungole HC III carries a mark cut into each item, naming the funding source, the financial year and a sequence number. Nothing at any of the three Napak schools, either Amudat school, either Nakapiripirit school or Lolachat Seed School carries an engraved number or a recorded serial number, so no item at any of them can be identified again. At Lopei Seed Secondary School, where everything is new and counted, the schedules record the absence line by line. On 1 September it was confirmed that no asset in Nakapiripirit, Amudat or Nabilatuk is engraved.</w:t>
      </w:r>
    </w:p>
    <w:p>
      <w:pPr>
        <w:pStyle w:val="ListBullet"/>
      </w:pPr>
      <w:r>
        <w:rPr>
          <w:b/>
          <w:i w:val="0"/>
        </w:rPr>
        <w:t>Buildings are in use for purposes other than the ones they were built for.</w:t>
      </w:r>
      <w:r>
        <w:rPr>
          <w:b w:val="0"/>
          <w:i w:val="0"/>
        </w:rPr>
        <w:t xml:space="preserve"> At Napak Seed Secondary School the library and ICT block is a girls' dormitory, the main hall is a boys' dormitory, and a classroom block is divided by stacked timber into an A level dormitory and a computer room.</w:t>
      </w:r>
    </w:p>
    <w:p>
      <w:pPr>
        <w:pStyle w:val="ListBullet"/>
      </w:pPr>
      <w:r>
        <w:rPr>
          <w:b/>
          <w:i w:val="0"/>
        </w:rPr>
        <w:t>New works are failing before they are handed over.</w:t>
      </w:r>
      <w:r>
        <w:rPr>
          <w:b w:val="0"/>
          <w:i w:val="0"/>
        </w:rPr>
        <w:t xml:space="preserve"> Cracks have appeared in the staff quarter toilet blocks at Iriiri Seed Secondary School while the contractor is still on site, and the toilet blocks at Napak Seed Secondary School have cracked as well.</w:t>
      </w:r>
    </w:p>
    <w:p>
      <w:pPr>
        <w:pStyle w:val="ListBullet"/>
      </w:pPr>
      <w:r>
        <w:rPr>
          <w:b/>
          <w:i w:val="0"/>
        </w:rPr>
        <w:t>Assets are broken or altered and nothing at the facility records it.</w:t>
      </w:r>
      <w:r>
        <w:rPr>
          <w:b w:val="0"/>
          <w:i w:val="0"/>
        </w:rPr>
        <w:t xml:space="preserve"> Furniture at Napak Seed Secondary School is partly broken, drip stands and an examination couch at Kalemungole HC III are damaged, and the hand pump the programme installed at Katikekire Seed School lies dismantled in a store after the borehole was converted. No facility here keeps a functionality or breakdown record.</w:t>
      </w:r>
    </w:p>
    <w:p>
      <w:pPr>
        <w:pStyle w:val="ListBullet"/>
      </w:pPr>
      <w:r>
        <w:rPr>
          <w:b/>
          <w:i w:val="0"/>
        </w:rPr>
        <w:t>Assets stand unused at facilities that hold them.</w:t>
      </w:r>
      <w:r>
        <w:rPr>
          <w:b w:val="0"/>
          <w:i w:val="0"/>
        </w:rPr>
        <w:t xml:space="preserve"> At Kalemungole HC III a bubble CPAP is still in its unopened carton, treatment trolleys are in the maker's film and a toddler scale is still wrapped, and each is recorded as functional. Lopei Seed Secondary School stands complete and handed over with 112 office tables, 242 chairs, 115 stools and every block finished, and none of it has been used.</w:t>
      </w:r>
    </w:p>
    <w:p>
      <w:pPr>
        <w:pStyle w:val="ListBullet"/>
      </w:pPr>
      <w:r>
        <w:rPr>
          <w:b/>
          <w:i w:val="0"/>
        </w:rPr>
        <w:t>The officers and staff who answer for the assets were largely not available.</w:t>
      </w:r>
      <w:r>
        <w:rPr>
          <w:b w:val="0"/>
          <w:i w:val="0"/>
        </w:rPr>
        <w:t xml:space="preserve"> Head teachers were away or unreachable at four schools, the in charge at Kalemungole HC III was engaged elsewhere, and at Lopei Seed Secondary School the keys were away with someone else. The discussion guide is unanswered at Rupa Seed School and at Lopei Seed Secondary School, and only partly answered at Iriiri Seed Secondary School, so how those facilities record, maintain and repair their assets is unknown.</w:t>
      </w:r>
    </w:p>
    <w:p>
      <w:pPr>
        <w:pStyle w:val="ListBullet"/>
      </w:pPr>
      <w:r>
        <w:rPr>
          <w:b/>
          <w:i w:val="0"/>
        </w:rPr>
        <w:t>Napak Seed Secondary School's own register mixes other donors with the programme.</w:t>
      </w:r>
      <w:r>
        <w:rPr>
          <w:b w:val="0"/>
          <w:i w:val="0"/>
        </w:rPr>
        <w:t xml:space="preserve"> A return visit on 31 August found nobody who could name the UgIFT lines: the head teacher and the deputy did not pick up, and the officer who knew about those donations had retired.</w:t>
      </w:r>
    </w:p>
    <w:p>
      <w:pPr>
        <w:pStyle w:val="ListBullet"/>
      </w:pPr>
      <w:r>
        <w:rPr>
          <w:b/>
          <w:i w:val="0"/>
        </w:rPr>
        <w:t>Asset management at district level is on record for one local government of the five.</w:t>
      </w:r>
      <w:r>
        <w:rPr>
          <w:b w:val="0"/>
          <w:i w:val="0"/>
        </w:rPr>
        <w:t xml:space="preserve"> Only Nakapiripirit's officers were interviewed, and no district received a debrief on what was found.</w:t>
      </w:r>
    </w:p>
    <w:p>
      <w:pPr>
        <w:pStyle w:val="Heading1"/>
      </w:pPr>
      <w:bookmarkStart w:id="4" w:name="toc_recommendations"/>
      <w:r>
        <w:t>Recommendations</w:t>
      </w:r>
      <w:bookmarkEnd w:id="4"/>
    </w:p>
    <w:p>
      <w:pPr>
        <w:pStyle w:val="ListBullet"/>
      </w:pPr>
      <w:r>
        <w:rPr>
          <w:b/>
          <w:i w:val="0"/>
        </w:rPr>
        <w:t>Each local government should open and keep a register of its UgIFT assets</w:t>
      </w:r>
      <w:r>
        <w:rPr>
          <w:b w:val="0"/>
          <w:i w:val="0"/>
        </w:rPr>
        <w:t>, either separately or flagged within its general asset listing, so that what a facility holds has something to be checked against.</w:t>
      </w:r>
    </w:p>
    <w:p>
      <w:pPr>
        <w:pStyle w:val="ListBullet"/>
      </w:pPr>
      <w:r>
        <w:rPr>
          <w:b/>
          <w:i w:val="0"/>
        </w:rPr>
        <w:t>Facilities that keep their own registers should mark which lines came through the programme</w:t>
      </w:r>
      <w:r>
        <w:rPr>
          <w:b w:val="0"/>
          <w:i w:val="0"/>
        </w:rPr>
        <w:t>, and the district should confirm those lines against its own procurement record before the next visit.</w:t>
      </w:r>
    </w:p>
    <w:p>
      <w:pPr>
        <w:pStyle w:val="ListBullet"/>
      </w:pPr>
      <w:r>
        <w:rPr>
          <w:b/>
          <w:i w:val="0"/>
        </w:rPr>
        <w:t>Engrave what is not engraved.</w:t>
      </w:r>
      <w:r>
        <w:rPr>
          <w:b w:val="0"/>
          <w:i w:val="0"/>
        </w:rPr>
        <w:t xml:space="preserve"> Each district should fix a date and name the officer responsible, and use the form already in use on the health centre equipment, which names the funding source, the financial year and a sequence number.</w:t>
      </w:r>
    </w:p>
    <w:p>
      <w:pPr>
        <w:pStyle w:val="ListBullet"/>
      </w:pPr>
      <w:r>
        <w:rPr>
          <w:b/>
          <w:i w:val="0"/>
        </w:rPr>
        <w:t>Every facility should count its holdings, record a quantity against each line and give the district a copy</w:t>
      </w:r>
      <w:r>
        <w:rPr>
          <w:b w:val="0"/>
          <w:i w:val="0"/>
        </w:rPr>
        <w:t>, so that what was supplied and what is held can be set against each other.</w:t>
      </w:r>
    </w:p>
    <w:p>
      <w:pPr>
        <w:pStyle w:val="ListBullet"/>
      </w:pPr>
      <w:r>
        <w:rPr>
          <w:b/>
          <w:i w:val="0"/>
        </w:rPr>
        <w:t>Return the blocks in other use to the purpose they were built for</w:t>
      </w:r>
      <w:r>
        <w:rPr>
          <w:b w:val="0"/>
          <w:i w:val="0"/>
        </w:rPr>
        <w:t>, or record with the district why a library, an ICT room and a hall are being slept in and what is to be done about it.</w:t>
      </w:r>
    </w:p>
    <w:p>
      <w:pPr>
        <w:pStyle w:val="ListBullet"/>
      </w:pPr>
      <w:r>
        <w:rPr>
          <w:b/>
          <w:i w:val="0"/>
        </w:rPr>
        <w:t>Raise the cracks at both Napak schools with the District Engineer</w:t>
      </w:r>
      <w:r>
        <w:rPr>
          <w:b w:val="0"/>
          <w:i w:val="0"/>
        </w:rPr>
        <w:t>, as defects against the contract at Iriiri Seed Secondary School while it is still with its contractor.</w:t>
      </w:r>
    </w:p>
    <w:p>
      <w:pPr>
        <w:pStyle w:val="ListBullet"/>
      </w:pPr>
      <w:r>
        <w:rPr>
          <w:b/>
          <w:i w:val="0"/>
        </w:rPr>
        <w:t>Each facility should keep a functionality and breakdown record</w:t>
      </w:r>
      <w:r>
        <w:rPr>
          <w:b w:val="0"/>
          <w:i w:val="0"/>
        </w:rPr>
        <w:t>, and the broken furniture, the damaged drip stands and couch and the dismantled hand pump should be repaired or listed for disposal.</w:t>
      </w:r>
    </w:p>
    <w:p>
      <w:pPr>
        <w:pStyle w:val="ListBullet"/>
      </w:pPr>
      <w:r>
        <w:rPr>
          <w:b/>
          <w:i w:val="0"/>
        </w:rPr>
        <w:t>Put the equipment still in its packaging into service</w:t>
      </w:r>
      <w:r>
        <w:rPr>
          <w:b w:val="0"/>
          <w:i w:val="0"/>
        </w:rPr>
        <w:t xml:space="preserve"> at Kalemungole HC III, or record why it is being held.</w:t>
      </w:r>
    </w:p>
    <w:p>
      <w:pPr>
        <w:pStyle w:val="ListBullet"/>
      </w:pPr>
      <w:r>
        <w:rPr>
          <w:b/>
          <w:i w:val="0"/>
        </w:rPr>
        <w:t>Facility custodians should be present with their asset records ready</w:t>
      </w:r>
      <w:r>
        <w:rPr>
          <w:b w:val="0"/>
          <w:i w:val="0"/>
        </w:rPr>
        <w:t xml:space="preserve"> when a facility is worked, so that the register can be filled on site and the discussion guide answered.</w:t>
      </w:r>
    </w:p>
    <w:p>
      <w:pPr>
        <w:pStyle w:val="ListBullet"/>
      </w:pPr>
      <w:r>
        <w:rPr>
          <w:b/>
          <w:i w:val="0"/>
        </w:rPr>
        <w:t>Each district should make the Chief Finance Officer, District Education Officer and District Health Officer available and take the debrief</w:t>
      </w:r>
      <w:r>
        <w:rPr>
          <w:b w:val="0"/>
          <w:i w:val="0"/>
        </w:rPr>
        <w:t>, so that its asset management practice is on record.</w:t>
      </w:r>
    </w:p>
    <w:p>
      <w:pPr>
        <w:pStyle w:val="ListBullet"/>
      </w:pPr>
      <w:r>
        <w:rPr>
          <w:b/>
          <w:i w:val="0"/>
        </w:rPr>
        <w:t>Nabilatuk should name the second school its allocation carries.</w:t>
      </w:r>
      <w:r>
        <w:rPr>
          <w:b w:val="0"/>
          <w:i w:val="0"/>
        </w:rPr>
        <w:t xml:space="preserve"> The programme list names Lolachat Seed School only, and the district should confirm which other school belongs here and when it can be opened.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