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Narrow" w:cs="Arial Narrow" w:eastAsia="Arial Narrow" w:hAnsi="Arial Narrow"/>
          <w:b/>
          <w:bCs/>
          <w:sz w:val="26"/>
          <w:szCs w:val="26"/>
        </w:rPr>
        <w:t xml:space="preserve">CONSULTANCY SERVICES TO VERIFY AND RECORD ASSETS UNDER THE UGIFT PROGRAMME</w:t>
      </w:r>
    </w:p>
    <w:p>
      <w:pPr>
        <w:spacing w:after="240"/>
        <w:jc w:val="center"/>
      </w:pPr>
      <w:r>
        <w:rPr>
          <w:rFonts w:ascii="Arial Narrow" w:cs="Arial Narrow" w:eastAsia="Arial Narrow" w:hAnsi="Arial Narrow"/>
          <w:b/>
          <w:bCs/>
          <w:sz w:val="30"/>
          <w:szCs w:val="30"/>
        </w:rPr>
        <w:t xml:space="preserve">EXECUTIVE SUMMARY</w:t>
      </w:r>
    </w:p>
    <w:p>
      <w:pPr>
        <w:spacing w:after="80" w:before="160"/>
      </w:pPr>
      <w:r>
        <w:rPr>
          <w:rFonts w:ascii="Arial Narrow" w:cs="Arial Narrow" w:eastAsia="Arial Narrow" w:hAnsi="Arial Narrow"/>
          <w:b/>
          <w:bCs/>
          <w:sz w:val="24"/>
          <w:szCs w:val="24"/>
        </w:rPr>
        <w:t xml:space="preserve">General background</w:t>
      </w:r>
    </w:p>
    <w:p>
      <w:pPr>
        <w:spacing w:after="120" w:line="264"/>
        <w:jc w:val="both"/>
      </w:pPr>
      <w:r>
        <w:rPr>
          <w:rFonts w:ascii="Arial Narrow" w:cs="Arial Narrow" w:eastAsia="Arial Narrow" w:hAnsi="Arial Narrow"/>
          <w:sz w:val="22"/>
          <w:szCs w:val="22"/>
        </w:rPr>
        <w:t xml:space="preserve">The Uganda Intergovernmental Fiscal Transfers (UgIFT) Programme is a Government of Uganda programme implemented through a Programme-for-Results, with initial financing of US$200 million in FY2017/18 and additional financing of US$300 million, bringing total funding to US$500 million. The programme supported education, health, water and environment, agriculture through micro-scale irrigation, and interventions in refugee-hosting districts, and ended on 31 December 2025. As part of closure activities, the Ministry of Finance, Planning and Economic Development, through the Reform Coordination Unit, commissioned an end-of-programme asset verification covering 15 national level Ministries, Departments and Agencies (MDAs), the three Regional Blood Banks of Arua, Hoima and Soroti, and 629 local government facilities comprising 371 Health Centres and 258 Seed Secondary Schools, with field verification from 24 August to 17 September 2026.</w:t>
      </w:r>
    </w:p>
    <w:p>
      <w:pPr>
        <w:spacing w:after="80" w:before="160"/>
      </w:pPr>
      <w:r>
        <w:rPr>
          <w:rFonts w:ascii="Arial Narrow" w:cs="Arial Narrow" w:eastAsia="Arial Narrow" w:hAnsi="Arial Narrow"/>
          <w:b/>
          <w:bCs/>
          <w:sz w:val="24"/>
          <w:szCs w:val="24"/>
        </w:rPr>
        <w:t xml:space="preserve">Asset availability</w:t>
      </w:r>
    </w:p>
    <w:p>
      <w:pPr>
        <w:spacing w:after="120" w:line="264"/>
        <w:jc w:val="both"/>
      </w:pPr>
      <w:r>
        <w:rPr>
          <w:rFonts w:ascii="Arial Narrow" w:cs="Arial Narrow" w:eastAsia="Arial Narrow" w:hAnsi="Arial Narrow"/>
          <w:sz w:val="22"/>
          <w:szCs w:val="22"/>
        </w:rPr>
        <w:t xml:space="preserve">The verification recorded a total of 228,800 assets across the targeted institutions, comprising the MDAs, the Regional Blood Banks, the upgraded Health Centres and the Seed Secondary Schools. Seed Secondary Schools held the majority of the assets at 63.4% (145,256), followed by Health Centres with 29% (66,499), while MDAs held 7.3% (16,663) and the Regional Blood Banks 0.3% (602). The assets verified included vehicles, ICT equipment such as laptops, desktop computers, tablets and printers, furniture, UPS systems, clinical and laboratory equipment and buildings. Among the MDAs, most assets (94.6%) were held at the Ministry of Education and Sports, the Ministry of Water and Environment and the Ministry of Agriculture, Animal Industry and Fisheries.</w:t>
      </w:r>
    </w:p>
    <w:p>
      <w:pPr>
        <w:spacing w:after="80" w:before="160"/>
      </w:pPr>
      <w:r>
        <w:rPr>
          <w:rFonts w:ascii="Arial Narrow" w:cs="Arial Narrow" w:eastAsia="Arial Narrow" w:hAnsi="Arial Narrow"/>
          <w:b/>
          <w:bCs/>
          <w:sz w:val="24"/>
          <w:szCs w:val="24"/>
        </w:rPr>
        <w:t xml:space="preserve">Asset condition and functionality</w:t>
      </w:r>
    </w:p>
    <w:p>
      <w:pPr>
        <w:spacing w:after="120" w:line="264"/>
        <w:jc w:val="both"/>
      </w:pPr>
      <w:r>
        <w:rPr>
          <w:rFonts w:ascii="Arial Narrow" w:cs="Arial Narrow" w:eastAsia="Arial Narrow" w:hAnsi="Arial Narrow"/>
          <w:sz w:val="22"/>
          <w:szCs w:val="22"/>
        </w:rPr>
        <w:t xml:space="preserve">The verification assessed the condition and functionality of all assets recorded under the programme. Of the 228,800 assets verified, 215,280 (94.1%) were classified as functional and in use, while 13,504 (5.9%) were classified as faulty and out of use. Functionality was high across all locations, with 99.9% of assets at MDAs in good condition and in use, 94.6% at Seed Secondary Schools, 96.0% at Regional Blood Banks and 91.4% at Health Centres. A number of functional assets remained in store rather than deployed for reasons such as pending power connection, incomplete buildings and staff awaiting training. Faulty items were mainly furniture in schools and clinical equipment in Health Centres requiring repair.</w:t>
      </w:r>
    </w:p>
    <w:p>
      <w:pPr>
        <w:spacing w:after="80" w:before="160"/>
      </w:pPr>
      <w:r>
        <w:rPr>
          <w:rFonts w:ascii="Arial Narrow" w:cs="Arial Narrow" w:eastAsia="Arial Narrow" w:hAnsi="Arial Narrow"/>
          <w:b/>
          <w:bCs/>
          <w:sz w:val="24"/>
          <w:szCs w:val="24"/>
        </w:rPr>
        <w:t xml:space="preserve">Asset marking and identification</w:t>
      </w:r>
    </w:p>
    <w:p>
      <w:pPr>
        <w:spacing w:after="120" w:line="264"/>
        <w:jc w:val="both"/>
      </w:pPr>
      <w:r>
        <w:rPr>
          <w:rFonts w:ascii="Arial Narrow" w:cs="Arial Narrow" w:eastAsia="Arial Narrow" w:hAnsi="Arial Narrow"/>
          <w:sz w:val="22"/>
          <w:szCs w:val="22"/>
        </w:rPr>
        <w:t xml:space="preserve">The verification assessed the marking and identification of assets across the participating institutions. Of the assets verified, 50,329 (22.0%) carried markings while 178,695 (78.0%) were not engraved, and 22,253 assets (9.7%) had identifiers containing UgIFT markings. Identification varied by location, with identifiers recorded for 30.3% of records at MDAs, 24.5% of school records and 15.0% of Health Centre records. Some assets without UgIFT markings were nonetheless identified by officers on the ground as UgIFT assets, while vehicles and motorcycles were identified by their registration numbers. Taken together, these means of identification supported the attribution of assets to the programme during the exercise.</w:t>
      </w:r>
    </w:p>
    <w:p>
      <w:pPr>
        <w:spacing w:after="80" w:before="160"/>
      </w:pPr>
      <w:r>
        <w:rPr>
          <w:rFonts w:ascii="Arial Narrow" w:cs="Arial Narrow" w:eastAsia="Arial Narrow" w:hAnsi="Arial Narrow"/>
          <w:b/>
          <w:bCs/>
          <w:sz w:val="24"/>
          <w:szCs w:val="24"/>
        </w:rPr>
        <w:t xml:space="preserve">Financial values</w:t>
      </w:r>
    </w:p>
    <w:p>
      <w:pPr>
        <w:spacing w:after="120" w:line="264"/>
        <w:jc w:val="both"/>
      </w:pPr>
      <w:r>
        <w:rPr>
          <w:rFonts w:ascii="Arial Narrow" w:cs="Arial Narrow" w:eastAsia="Arial Narrow" w:hAnsi="Arial Narrow"/>
          <w:sz w:val="22"/>
          <w:szCs w:val="22"/>
        </w:rPr>
        <w:t xml:space="preserve">The verified assets had an overall recorded value of UGX 996.8 billion, with accumulated depreciation of UGX 165.2 billion and a net book value of UGX 595.8 billion as at 30th September 2026. These values were determined in accordance with the Government of Uganda Asset Accounting Policies and Guidelines 2023, applying the straight-line depreciation method. Seed Secondary Schools accounted for the largest share of the recorded value at UGX 700.2 billion, followed by Health Centres at UGX 260.7 billion, MDAs at UGX 32.1 billion and the Regional Blood Banks at UGX 1.5 billion. These figures provide a sound financial basis for programme closure reporting and for the transfer of the assets onto government asset registers.</w:t>
      </w:r>
    </w:p>
    <w:p>
      <w:pPr>
        <w:spacing w:after="80" w:before="160"/>
      </w:pPr>
      <w:r>
        <w:rPr>
          <w:rFonts w:ascii="Arial Narrow" w:cs="Arial Narrow" w:eastAsia="Arial Narrow" w:hAnsi="Arial Narrow"/>
          <w:b/>
          <w:bCs/>
          <w:sz w:val="24"/>
          <w:szCs w:val="24"/>
        </w:rPr>
        <w:t xml:space="preserve">Asset management</w:t>
      </w:r>
    </w:p>
    <w:p>
      <w:pPr>
        <w:spacing w:after="120" w:line="264"/>
        <w:jc w:val="both"/>
      </w:pPr>
      <w:r>
        <w:rPr>
          <w:rFonts w:ascii="Arial Narrow" w:cs="Arial Narrow" w:eastAsia="Arial Narrow" w:hAnsi="Arial Narrow"/>
          <w:sz w:val="22"/>
          <w:szCs w:val="22"/>
        </w:rPr>
        <w:t xml:space="preserve">The verification assessed the arrangements in place for maintaining and managing UgIFT assets. All MDAs met maintenance and repair costs from their own funds. At local government level, 260 facilities (55.4%) met repairs at facility level, drawing on Primary Health Care funds for Health Centres and capitation or Universal Secondary Education grants for schools, while 152 facilities (32.4%) relied on external support, including district teams, hired technicians and contractors under warranty arrangements. In addition, 13.7% of facilities (68) tracked asset condition or life cycle, and 354 of the 629 facilities (56.3%) held asset records. Obsolete and faulty items remained at their facilities pending the issuance of UgIFT asset planning and disposal guidelines.</w:t>
      </w:r>
    </w:p>
    <w:p>
      <w:pPr>
        <w:spacing w:after="80" w:before="160"/>
      </w:pPr>
      <w:r>
        <w:rPr>
          <w:rFonts w:ascii="Arial Narrow" w:cs="Arial Narrow" w:eastAsia="Arial Narrow" w:hAnsi="Arial Narrow"/>
          <w:b/>
          <w:bCs/>
          <w:sz w:val="24"/>
          <w:szCs w:val="24"/>
        </w:rPr>
        <w:t xml:space="preserve">Reconciliations</w:t>
      </w:r>
    </w:p>
    <w:p>
      <w:pPr>
        <w:spacing w:after="120" w:line="264"/>
        <w:jc w:val="both"/>
      </w:pPr>
      <w:r>
        <w:rPr>
          <w:rFonts w:ascii="Arial Narrow" w:cs="Arial Narrow" w:eastAsia="Arial Narrow" w:hAnsi="Arial Narrow"/>
          <w:sz w:val="22"/>
          <w:szCs w:val="22"/>
        </w:rPr>
        <w:t xml:space="preserve">The verification reconciled the programme list against the facilities found on the ground. Of the 629 programme list entries, 606 (96.3%) had supporting returns while 23 (3.7%) required reconciliation. Of these 23 entries, 10 related to facilities on the programme list that were not found on the ground, 3 to facilities that were not UgIFT beneficiaries, 5 to facilities that existed but held no UgIFT assets, 3 to facilities whose UgIFT assets had been relocated to another facility, and 2 to facilities represented by another name. Each case was examined and documented during the verification exercise, and the reconciliation confirmed the final facility coverage used for reporting.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Narrow" w:cs="Arial Narrow" w:eastAsia="Arial Narrow" w:hAnsi="Arial Narrow"/>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2026-10-12T08:14:55.541Z</dcterms:created>
  <dcterms:modified xsi:type="dcterms:W3CDTF">2026-10-12T08:14:55.541Z</dcterms:modified>
</cp:coreProperties>
</file>

<file path=docProps/custom.xml><?xml version="1.0" encoding="utf-8"?>
<Properties xmlns="http://schemas.openxmlformats.org/officeDocument/2006/custom-properties" xmlns:vt="http://schemas.openxmlformats.org/officeDocument/2006/docPropsVTypes"/>
</file>