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Moroto District - review of the record of assets held at the local government</w:t>
      </w:r>
    </w:p>
    <w:p>
      <w:r>
        <w:rPr>
          <w:b w:val="0"/>
          <w:i w:val="0"/>
        </w:rPr>
        <w:t>The district holds one record of assets and it was obtained on 25 August. It is reviewed here because a financial record is what a local government is asked for; a facility is asked for its own register instead.</w:t>
      </w:r>
    </w:p>
    <w:p>
      <w:pPr>
        <w:pStyle w:val="Heading1"/>
      </w:pPr>
      <w:r>
        <w:t>1. What the district holds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The record</w:t>
            </w:r>
          </w:p>
        </w:tc>
        <w:tc>
          <w:tcPr>
            <w:tcW w:type="dxa" w:w="4320"/>
          </w:tcPr>
          <w:p>
            <w:r>
              <w:rPr>
                <w:b/>
              </w:rPr>
            </w:r>
            <w:r>
              <w:rPr>
                <w:b/>
                <w:i w:val="0"/>
              </w:rPr>
              <w:t>An equipment allocation schedule, both halves of the one sheet on file</w:t>
            </w:r>
          </w:p>
        </w:tc>
      </w:tr>
      <w:tr>
        <w:tc>
          <w:tcPr>
            <w:tcW w:type="dxa" w:w="4320"/>
          </w:tcPr>
          <w:p>
            <w:r/>
            <w:r>
              <w:rPr>
                <w:b w:val="0"/>
                <w:i w:val="0"/>
              </w:rPr>
              <w:t>Headed</w:t>
            </w:r>
          </w:p>
        </w:tc>
        <w:tc>
          <w:tcPr>
            <w:tcW w:type="dxa" w:w="4320"/>
          </w:tcPr>
          <w:p>
            <w:r/>
            <w:r>
              <w:rPr>
                <w:b w:val="0"/>
                <w:i w:val="0"/>
              </w:rPr>
              <w:t>Moroto local government, and Kalemungole as the facility allocated to</w:t>
            </w:r>
          </w:p>
        </w:tc>
      </w:tr>
      <w:tr>
        <w:tc>
          <w:tcPr>
            <w:tcW w:type="dxa" w:w="4320"/>
          </w:tcPr>
          <w:p>
            <w:r/>
            <w:r>
              <w:rPr>
                <w:b w:val="0"/>
                <w:i w:val="0"/>
              </w:rPr>
              <w:t>What it carries</w:t>
            </w:r>
          </w:p>
        </w:tc>
        <w:tc>
          <w:tcPr>
            <w:tcW w:type="dxa" w:w="4320"/>
          </w:tcPr>
          <w:p>
            <w:r/>
            <w:r>
              <w:rPr>
                <w:b w:val="0"/>
                <w:i w:val="0"/>
              </w:rPr>
              <w:t>69 numbered lines of equipment against a quantity column</w:t>
            </w:r>
          </w:p>
        </w:tc>
      </w:tr>
      <w:tr>
        <w:tc>
          <w:tcPr>
            <w:tcW w:type="dxa" w:w="4320"/>
          </w:tcPr>
          <w:p>
            <w:r/>
            <w:r>
              <w:rPr>
                <w:b w:val="0"/>
                <w:i w:val="0"/>
              </w:rPr>
              <w:t>What it does not carry</w:t>
            </w:r>
          </w:p>
        </w:tc>
        <w:tc>
          <w:tcPr>
            <w:tcW w:type="dxa" w:w="4320"/>
          </w:tcPr>
          <w:p>
            <w:r/>
            <w:r>
              <w:rPr>
                <w:b w:val="0"/>
                <w:i w:val="0"/>
              </w:rPr>
              <w:t>No cost, no asset number, no tag number, no date of purchase, no date placed in service and no depreciation figure</w:t>
            </w:r>
          </w:p>
        </w:tc>
      </w:tr>
      <w:tr>
        <w:tc>
          <w:tcPr>
            <w:tcW w:type="dxa" w:w="4320"/>
          </w:tcPr>
          <w:p>
            <w:r/>
            <w:r>
              <w:rPr>
                <w:b w:val="0"/>
                <w:i w:val="0"/>
              </w:rPr>
              <w:t>Obtained</w:t>
            </w:r>
          </w:p>
        </w:tc>
        <w:tc>
          <w:tcPr>
            <w:tcW w:type="dxa" w:w="4320"/>
          </w:tcPr>
          <w:p>
            <w:r/>
            <w:r>
              <w:rPr>
                <w:b w:val="0"/>
                <w:i w:val="0"/>
              </w:rPr>
              <w:t>Yes, on the first morning in the district</w:t>
            </w:r>
          </w:p>
        </w:tc>
      </w:tr>
      <w:tr>
        <w:tc>
          <w:tcPr>
            <w:tcW w:type="dxa" w:w="4320"/>
          </w:tcPr>
          <w:p>
            <w:r/>
            <w:r>
              <w:rPr>
                <w:b w:val="0"/>
                <w:i w:val="0"/>
              </w:rPr>
              <w:t>A register of the district's own</w:t>
            </w:r>
          </w:p>
        </w:tc>
        <w:tc>
          <w:tcPr>
            <w:tcW w:type="dxa" w:w="4320"/>
          </w:tcPr>
          <w:p>
            <w:r/>
            <w:r>
              <w:rPr>
                <w:b w:val="0"/>
                <w:i w:val="0"/>
              </w:rPr>
              <w:t>No record. None was offered and none is on file</w:t>
            </w:r>
          </w:p>
        </w:tc>
      </w:tr>
    </w:tbl>
    <w:p/>
    <w:p>
      <w:pPr>
        <w:pStyle w:val="Heading1"/>
      </w:pPr>
      <w:r>
        <w:t>2. What it covers, and what it does not</w:t>
      </w:r>
    </w:p>
    <w:p>
      <w:r>
        <w:rPr>
          <w:b w:val="0"/>
          <w:i w:val="0"/>
        </w:rPr>
        <w:t>It covers one facility of the three on the district list. Kalemungole HC III has its allocation; Katikekire Seed School and Rupa Seed School have nothing at district level at all. So two of the three facilities in this local government cannot be checked against the district whatever else is obtained from them, and the third can be checked only for equipment - the schedule carries no building and no vehicle.</w:t>
      </w:r>
    </w:p>
    <w:p>
      <w:pPr>
        <w:pStyle w:val="Heading1"/>
      </w:pPr>
      <w:r>
        <w:t>3. What can be read on it</w:t>
      </w:r>
    </w:p>
    <w:p>
      <w:r>
        <w:rPr>
          <w:b w:val="0"/>
          <w:i w:val="0"/>
        </w:rPr>
        <w:t>Less than there should be. The sheet was photographed curled and the quantity column rides out of line with the items it belongs to across the width of it, so which figure belongs to which item cannot be settled from what is in hand. No supplied figure is taken from it anywhere in this record, and the item names are the only part of it used. Manuscript ticks and crosses stand against many lines and nothing on the sheet says what they mean; they are not written up as findings.</w:t>
      </w:r>
    </w:p>
    <w:p>
      <w:pPr>
        <w:pStyle w:val="Heading1"/>
      </w:pPr>
      <w:r>
        <w:t>4. Against what the facility holds</w:t>
      </w:r>
    </w:p>
    <w:p>
      <w:r>
        <w:rPr>
          <w:b w:val="0"/>
          <w:i w:val="0"/>
        </w:rPr>
        <w:t>The comparison this record exists to make cannot yet be made. Kalemungole HC III counted its own assets line by line on its own register, so the found side is complete for it, and the supplied side waits on this sheet being obtained flat or as a copy. The item names on the two do correspond, which is itself worth having: the schedule and the facility register are built on the same list of equipment.</w:t>
      </w:r>
    </w:p>
    <w:p>
      <w:pPr>
        <w:pStyle w:val="Heading1"/>
      </w:pPr>
      <w:r>
        <w:t>5. Queries</w:t>
      </w:r>
    </w:p>
    <w:p>
      <w:pPr>
        <w:pStyle w:val="ListBullet"/>
      </w:pPr>
      <w:r>
        <w:rPr>
          <w:b w:val="0"/>
          <w:i w:val="0"/>
        </w:rPr>
        <w:t>Send the allocation schedule flat and at full size, or obtain a copy from the district, so the quantity against each item can be read.</w:t>
      </w:r>
    </w:p>
    <w:p>
      <w:pPr>
        <w:pStyle w:val="ListBullet"/>
      </w:pPr>
      <w:r>
        <w:rPr>
          <w:b w:val="0"/>
          <w:i w:val="0"/>
        </w:rPr>
        <w:t>Obtain the equivalent sheets for Katikekire Seed School and Rupa Seed School, or confirm that the district holds none.</w:t>
      </w:r>
    </w:p>
    <w:p>
      <w:pPr>
        <w:pStyle w:val="ListBullet"/>
      </w:pPr>
      <w:r>
        <w:rPr>
          <w:b w:val="0"/>
          <w:i w:val="0"/>
        </w:rPr>
        <w:t>Confirm who marked the ticks and crosses on the schedule and what a cross records.</w:t>
      </w:r>
    </w:p>
    <w:p>
      <w:pPr>
        <w:pStyle w:val="ListBullet"/>
      </w:pPr>
      <w:r>
        <w:rPr>
          <w:b w:val="0"/>
          <w:i w:val="0"/>
        </w:rPr>
        <w:t>The schedule carries no cost and no asset number. Establish where in this district a UgIFT asset acquires both, and who holds that record.</w:t>
      </w:r>
    </w:p>
    <w:p>
      <w:pPr>
        <w:pStyle w:val="ListBullet"/>
      </w:pPr>
      <w:r>
        <w:rPr>
          <w:b w:val="0"/>
          <w:i w:val="0"/>
        </w:rPr>
        <w:t>Establish whether Moroto keeps any asset register of its own beyond this allocation, and record the answer in writing from the Chief Administrative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