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Nakapiripirit District - review of the record of assets held at the local government</w:t>
      </w:r>
    </w:p>
    <w:p>
      <w:pPr>
        <w:pStyle w:val="Heading1"/>
      </w:pPr>
      <w:r>
        <w:t>1. What the district holds</w:t>
      </w:r>
    </w:p>
    <w:p>
      <w:r>
        <w:rPr>
          <w:b w:val="0"/>
          <w:i w:val="0"/>
        </w:rPr>
        <w:t>The Chief Administrative Officer and the District Education Officer both told the team that Nakapiripirit holds no asset register. Nothing was produced and nothing is on file.</w:t>
      </w:r>
    </w:p>
    <w:p>
      <w:pPr>
        <w:pStyle w:val="Heading1"/>
      </w:pPr>
      <w:r>
        <w:t>2. What it covers</w:t>
      </w:r>
    </w:p>
    <w:p>
      <w:r>
        <w:rPr>
          <w:b w:val="0"/>
          <w:i w:val="0"/>
        </w:rPr>
        <w:t>Neither school worked in Nakapiripirit can be checked against a district holding.</w:t>
      </w:r>
    </w:p>
    <w:p>
      <w:pPr>
        <w:pStyle w:val="Heading1"/>
      </w:pPr>
      <w:r>
        <w:t>3. Completeness</w:t>
      </w:r>
    </w:p>
    <w:p>
      <w:r>
        <w:rPr>
          <w:b w:val="0"/>
          <w:i w:val="0"/>
        </w:rPr>
        <w:t>The officers stated the district holds none. That statement is the whole of the record.</w:t>
      </w:r>
    </w:p>
    <w:p>
      <w:pPr>
        <w:pStyle w:val="Heading1"/>
      </w:pPr>
      <w:r>
        <w:t>4. What it can and cannot establish</w:t>
      </w:r>
    </w:p>
    <w:p>
      <w:r>
        <w:rPr>
          <w:b w:val="0"/>
          <w:i w:val="0"/>
        </w:rPr>
        <w:t>Had Nakapiripirit handed over a financial document, that would stand as the record of assets. With none on file, supplied quantities for these two schools cannot be read from the district.</w:t>
      </w:r>
    </w:p>
    <w:p>
      <w:pPr>
        <w:pStyle w:val="Heading1"/>
      </w:pPr>
      <w:r>
        <w:t>5. Queries</w:t>
      </w:r>
    </w:p>
    <w:p>
      <w:pPr>
        <w:pStyle w:val="ListBullet"/>
      </w:pPr>
      <w:r>
        <w:rPr>
          <w:b w:val="0"/>
          <w:i w:val="0"/>
        </w:rPr>
        <w:t>Record in writing from the Chief Administrative Officer that the district holds no register, or produce the register if one exists.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