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Iriiri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Iriiri Seed Secondary School</w:t>
            </w:r>
          </w:p>
        </w:tc>
      </w:tr>
      <w:tr>
        <w:tc>
          <w:tcPr>
            <w:tcW w:type="dxa" w:w="4320"/>
          </w:tcPr>
          <w:p>
            <w:r/>
            <w:r>
              <w:rPr>
                <w:b w:val="0"/>
                <w:i w:val="0"/>
              </w:rPr>
              <w:t>Named on the programme list</w:t>
            </w:r>
          </w:p>
        </w:tc>
        <w:tc>
          <w:tcPr>
            <w:tcW w:type="dxa" w:w="4320"/>
          </w:tcPr>
          <w:p>
            <w:r/>
            <w:r>
              <w:rPr>
                <w:b w:val="0"/>
                <w:i w:val="0"/>
              </w:rPr>
              <w:t>Iriiri</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Napak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Otema Emmanuel, who recorded the visit</w:t>
            </w:r>
          </w:p>
        </w:tc>
      </w:tr>
      <w:tr>
        <w:tc>
          <w:tcPr>
            <w:tcW w:type="dxa" w:w="4320"/>
          </w:tcPr>
          <w:p>
            <w:r/>
            <w:r>
              <w:rPr>
                <w:b w:val="0"/>
                <w:i w:val="0"/>
              </w:rPr>
              <w:t>Informant interviewed</w:t>
            </w:r>
          </w:p>
        </w:tc>
        <w:tc>
          <w:tcPr>
            <w:tcW w:type="dxa" w:w="4320"/>
          </w:tcPr>
          <w:p>
            <w:r/>
            <w:r>
              <w:rPr>
                <w:b w:val="0"/>
                <w:i w:val="0"/>
              </w:rPr>
              <w:t>Nobody of the school. It is not yet handed over and the contractor is still on it; no member of school staff is named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member reached the school on the afternoon of 26 August, in the vehicle the Chief Administrative Officer provided after the call at the district. No visitors' register was signed and none was seen. The site was open because the contractor is working on it.</w:t>
      </w:r>
    </w:p>
    <w:p>
      <w:pPr>
        <w:pStyle w:val="Heading1"/>
      </w:pPr>
      <w:r>
        <w:t>3. Condition and status</w:t>
      </w:r>
    </w:p>
    <w:p>
      <w:r>
        <w:rPr>
          <w:b w:val="0"/>
          <w:i w:val="0"/>
        </w:rPr>
        <w:t>Ownership, functionality, usage and location, as far as this visit settled them. What the visit did not settle reads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Recorded from the site board and from nothing else. It names the Government of Uganda as client, the Ministry of Education and Sports under UgIFT as funder, the District Engineer of Napak as supervisor and a named construction company as contractor. That is the ownership of a contract and not of what the school holds.</w:t>
            </w:r>
          </w:p>
        </w:tc>
      </w:tr>
      <w:tr>
        <w:tc>
          <w:tcPr>
            <w:tcW w:type="dxa" w:w="4320"/>
          </w:tcPr>
          <w:p>
            <w:r/>
            <w:r>
              <w:rPr>
                <w:b w:val="0"/>
                <w:i w:val="0"/>
              </w:rPr>
              <w:t>Functionality</w:t>
            </w:r>
          </w:p>
        </w:tc>
        <w:tc>
          <w:tcPr>
            <w:tcW w:type="dxa" w:w="4320"/>
          </w:tcPr>
          <w:p>
            <w:r/>
            <w:r>
              <w:rPr>
                <w:b w:val="0"/>
                <w:i w:val="0"/>
              </w:rPr>
              <w:t>Not established. The buildings stand and the furniture was being put together while the member was there, so nothing here has been put to use or tested.</w:t>
            </w:r>
          </w:p>
        </w:tc>
      </w:tr>
      <w:tr>
        <w:tc>
          <w:tcPr>
            <w:tcW w:type="dxa" w:w="4320"/>
          </w:tcPr>
          <w:p>
            <w:r/>
            <w:r>
              <w:rPr>
                <w:b w:val="0"/>
                <w:i w:val="0"/>
              </w:rPr>
              <w:t>Usage / performance</w:t>
            </w:r>
          </w:p>
        </w:tc>
        <w:tc>
          <w:tcPr>
            <w:tcW w:type="dxa" w:w="4320"/>
          </w:tcPr>
          <w:p>
            <w:r/>
            <w:r>
              <w:rPr>
                <w:b w:val="0"/>
                <w:i w:val="0"/>
              </w:rPr>
              <w:t>Not in use. The school is still with the contractor and nothing recorded here was recorded as in service.</w:t>
            </w:r>
          </w:p>
        </w:tc>
      </w:tr>
      <w:tr>
        <w:tc>
          <w:tcPr>
            <w:tcW w:type="dxa" w:w="4320"/>
          </w:tcPr>
          <w:p>
            <w:r/>
            <w:r>
              <w:rPr>
                <w:b w:val="0"/>
                <w:i w:val="0"/>
              </w:rPr>
              <w:t>Location</w:t>
            </w:r>
          </w:p>
        </w:tc>
        <w:tc>
          <w:tcPr>
            <w:tcW w:type="dxa" w:w="4320"/>
          </w:tcPr>
          <w:p>
            <w:r/>
            <w:r>
              <w:rPr>
                <w:b w:val="0"/>
                <w:i w:val="0"/>
              </w:rPr>
              <w:t>Established for the buildings. Class blocks, the main hall, the administration block, the library and ICT block, the science laboratory, a school kitchen, the playing field, a tap stand, the water tanks, the staff quarters and several toilet blocks were each recorded standing on the site.</w:t>
            </w:r>
          </w:p>
        </w:tc>
      </w:tr>
    </w:tbl>
    <w:p/>
    <w:p>
      <w:pPr>
        <w:pStyle w:val="Heading1"/>
      </w:pPr>
      <w:r>
        <w:t>4. Supplied against found</w:t>
      </w:r>
    </w:p>
    <w:p>
      <w:r>
        <w:rPr>
          <w:b w:val="0"/>
          <w:i w:val="0"/>
        </w:rPr>
        <w:t>A named hand-filled copy is now on file. The furniture schedule names Iriiri and carries office tables 112, chairs 242, stools 115, book shelves and a mowing machine that was not seen. The district produced no record of what was supplied, so there is still nothing to set the found lines against. The ICT and buildings pages in the same scan name Lopei Seed Secondary School and are not this school's.</w:t>
      </w:r>
    </w:p>
    <w:p>
      <w:pPr>
        <w:pStyle w:val="Heading1"/>
      </w:pPr>
      <w:r>
        <w:t>5. Engraving and identification</w:t>
      </w:r>
    </w:p>
    <w:p>
      <w:r>
        <w:rPr>
          <w:b w:val="0"/>
          <w:i w:val="0"/>
        </w:rPr>
        <w:t>Nothing is engraved. The furniture schedule reads None was engraved and Not engraved, and the member gave the reason on the day: the furniture is new and still being installed. No asset number and no serial number was recorded on any item.</w:t>
      </w:r>
    </w:p>
    <w:p>
      <w:pPr>
        <w:pStyle w:val="Heading1"/>
      </w:pPr>
      <w:r>
        <w:t>6. Obsolete, unserviceable or for disposal</w:t>
      </w:r>
    </w:p>
    <w:p>
      <w:r>
        <w:rPr>
          <w:b w:val="0"/>
          <w:i w:val="0"/>
        </w:rPr>
        <w:t>No item here was put forward as obsolete, unserviceable or for disposal. Cracks were recorded in some of the three toilet blocks at the staff quarters, on a site the contractor has not yet handed over, which is a defect for the works and not an asset for disposal.</w:t>
      </w:r>
    </w:p>
    <w:p>
      <w:pPr>
        <w:pStyle w:val="Heading1"/>
      </w:pPr>
      <w:r>
        <w:t>7. Operation and maintenance</w:t>
      </w:r>
    </w:p>
    <w:p>
      <w:r>
        <w:rPr>
          <w:b w:val="0"/>
          <w:i w:val="0"/>
        </w:rPr>
        <w:t>The discussion guide answers only whether the school holds a record of UgIFT assets: Yes. Questions 2, 3 and 4 are blank, so how the school will maintain what it is given, and whether it will record functionality and breakdown, remain unanswered. No member of school staff was seen.</w:t>
      </w:r>
    </w:p>
    <w:p>
      <w:pPr>
        <w:pStyle w:val="Heading1"/>
      </w:pPr>
      <w:r>
        <w:t>8. Queries</w:t>
      </w:r>
    </w:p>
    <w:p>
      <w:pPr>
        <w:pStyle w:val="ListBullet"/>
      </w:pPr>
      <w:r>
        <w:rPr>
          <w:b w:val="0"/>
          <w:i w:val="0"/>
        </w:rPr>
        <w:t>The school is still a building site with the contractor on it. Settle whether a school not yet handed over is in scope for asset verification, and obtain the date of handover.</w:t>
      </w:r>
    </w:p>
    <w:p>
      <w:pPr>
        <w:pStyle w:val="ListBullet"/>
      </w:pPr>
      <w:r>
        <w:rPr>
          <w:b w:val="0"/>
          <w:i w:val="0"/>
        </w:rPr>
        <w:t>Cracks were recorded in the staff quarter toilet blocks before handover. Raise them with the District Engineer as a defect against the contract.</w:t>
      </w:r>
    </w:p>
    <w:p>
      <w:pPr>
        <w:pStyle w:val="ListBullet"/>
      </w:pPr>
      <w:r>
        <w:rPr>
          <w:b w:val="0"/>
          <w:i w:val="0"/>
        </w:rPr>
        <w:t>The discussion guide answers only 1a. Complete questions 2, 3 and 4 once someone of the school can be reached.</w:t>
      </w:r>
    </w:p>
    <w:p>
      <w:pPr>
        <w:pStyle w:val="ListBullet"/>
      </w:pPr>
      <w:r>
        <w:rPr>
          <w:b w:val="0"/>
          <w:i w:val="0"/>
        </w:rPr>
        <w:t>The ICT and buildings pages in the Iriiri scan name Lopei Seed Secondary School. Obtain Iriiri's own ICT and buildings schedules.</w:t>
      </w:r>
    </w:p>
    <w:p>
      <w:pPr>
        <w:pStyle w:val="ListBullet"/>
      </w:pPr>
      <w:r>
        <w:rPr>
          <w:b w:val="0"/>
          <w:i w:val="0"/>
        </w:rPr>
        <w:t>The furniture was being assembled and none of it is engraved. Fix with the district when it will be engraved and by whom.</w:t>
      </w:r>
    </w:p>
    <w:p>
      <w:pPr>
        <w:pStyle w:val="ListBullet"/>
      </w:pPr>
      <w:r>
        <w:rPr>
          <w:b w:val="0"/>
          <w:i w:val="0"/>
        </w:rPr>
        <w:t>The mowing machine is on the furniture schedule and was not seen. Establish where it is.</w:t>
      </w:r>
    </w:p>
    <w:p>
      <w:pPr>
        <w:pStyle w:val="ListBullet"/>
      </w:pPr>
      <w:r>
        <w:rPr>
          <w:b w:val="0"/>
          <w:i w:val="0"/>
        </w:rPr>
        <w:t>One frame reached the record twice, once here and once among those of the district's other school. Confirm which school it was taken 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