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Chepkwasta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Chepkwasta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Bukwo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Alydo Mary Topista,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29 of the items recorded here carry a count; the counts sit with the facility's own record.</w:t>
      </w:r>
    </w:p>
    <w:p>
      <w:pPr>
        <w:pStyle w:val="Heading1"/>
      </w:pPr>
      <w:r>
        <w:t>5. Engraving and identification</w:t>
      </w:r>
    </w:p>
    <w:p>
      <w:r>
        <w:rPr>
          <w:b/>
          <w:i w:val="0"/>
        </w:rPr>
        <w:t>Engraved (15):</w:t>
      </w:r>
      <w:r>
        <w:rPr>
          <w:b w:val="0"/>
          <w:i w:val="0"/>
        </w:rPr>
        <w:t xml:space="preserve"> Bowl stand, Centrifuge, Delivery bed, Drip stand, Drip stand with movable castors, Examination light, Fridges, Height meter, Instrument trolleys, Medical waste bins, Oxygen concentrator, Oxygen cylinder, Resuscitation bed, Weighing scale infant, Wheel chair.</w:t>
      </w:r>
    </w:p>
    <w:p>
      <w:r>
        <w:rPr>
          <w:b/>
          <w:i w:val="0"/>
        </w:rPr>
        <w:t>Not engraved (8).</w:t>
      </w:r>
      <w:r>
        <w:rPr>
          <w:b w:val="0"/>
          <w:i w:val="0"/>
        </w:rPr>
        <w:t xml:space="preserve"> The items are named in the facility's own record.</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A printed equipment allocation schedule covering seventeen health centres is held at district level.</w:t>
      </w:r>
    </w:p>
    <w:p>
      <w:pPr>
        <w:pStyle w:val="ListBullet"/>
      </w:pPr>
      <w:r>
        <w:rPr>
          <w:b w:val="0"/>
          <w:i w:val="0"/>
        </w:rPr>
        <w:t>A steel cupboard at Chepkwasta is engraved, against the team's report that nothing is engraved.</w:t>
      </w:r>
    </w:p>
    <w:p>
      <w:pPr>
        <w:pStyle w:val="ListBullet"/>
      </w:pPr>
      <w:r>
        <w:rPr>
          <w:b w:val="0"/>
          <w:i w:val="0"/>
        </w:rPr>
        <w:t>The visitors' register filed under Mutushet may belong to Chepkwasta or Brim.</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