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Moyok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Moyok HC III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Kween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Date(s) of visit</w:t>
            </w:r>
          </w:p>
        </w:tc>
        <w:tc>
          <w:tcPr>
            <w:tcW w:type="dxa" w:w="4320"/>
          </w:tcPr>
          <w:p>
            <w:r/>
            <w:r>
              <w:rPr>
                <w:b w:val="0"/>
                <w:i w:val="0"/>
              </w:rPr>
              <w:t>2026-08-27</w:t>
            </w:r>
          </w:p>
        </w:tc>
      </w:tr>
      <w:tr>
        <w:tc>
          <w:tcPr>
            <w:tcW w:type="dxa" w:w="4320"/>
          </w:tcPr>
          <w:p>
            <w:r/>
            <w:r>
              <w:rPr>
                <w:b w:val="0"/>
                <w:i w:val="0"/>
              </w:rPr>
              <w:t>Team members present</w:t>
            </w:r>
          </w:p>
        </w:tc>
        <w:tc>
          <w:tcPr>
            <w:tcW w:type="dxa" w:w="4320"/>
          </w:tcPr>
          <w:p>
            <w:r/>
            <w:r>
              <w:rPr>
                <w:b w:val="0"/>
                <w:i w:val="0"/>
              </w:rPr>
              <w:t>Nakiwala Doreen, Shadrack</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Informant interviewed</w:t>
            </w:r>
          </w:p>
        </w:tc>
        <w:tc>
          <w:tcPr>
            <w:tcW w:type="dxa" w:w="4320"/>
          </w:tcPr>
          <w:p>
            <w:r/>
            <w:r>
              <w:rPr>
                <w:b w:val="0"/>
                <w:i w:val="0"/>
              </w:rPr>
              <w:t>Not recorded</w:t>
            </w:r>
          </w:p>
        </w:tc>
      </w:tr>
    </w:tbl>
    <w:p/>
    <w:p>
      <w:pPr>
        <w:pStyle w:val="Heading1"/>
      </w:pPr>
      <w:r>
        <w:t>2. Entry</w:t>
      </w:r>
    </w:p>
    <w:p>
      <w:r>
        <w:rPr>
          <w:b w:val="0"/>
          <w:i w:val="0"/>
        </w:rPr>
        <w:t>The visitors' book was photographed here, so the team is signed in on the facility's own record. Nothing about getting in or being allowed to work was raised.</w:t>
      </w:r>
    </w:p>
    <w:p>
      <w:pPr>
        <w:pStyle w:val="Heading1"/>
      </w:pPr>
      <w:r>
        <w:t>3. Condition and status</w:t>
      </w:r>
    </w:p>
    <w:p>
      <w:r>
        <w:rPr>
          <w:b w:val="0"/>
          <w:i w:val="0"/>
        </w:rPr>
        <w:t>The four things this exercise sets out to settle. What the visit settled is entered below, what it did not is marked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for this facility.</w:t>
            </w:r>
          </w:p>
        </w:tc>
      </w:tr>
      <w:tr>
        <w:tc>
          <w:tcPr>
            <w:tcW w:type="dxa" w:w="4320"/>
          </w:tcPr>
          <w:p>
            <w:r/>
            <w:r>
              <w:rPr>
                <w:b w:val="0"/>
                <w:i w:val="0"/>
              </w:rPr>
              <w:t>Functionality</w:t>
            </w:r>
          </w:p>
        </w:tc>
        <w:tc>
          <w:tcPr>
            <w:tcW w:type="dxa" w:w="4320"/>
          </w:tcPr>
          <w:p>
            <w:r/>
            <w:r>
              <w:rPr>
                <w:b w:val="0"/>
                <w:i w:val="0"/>
              </w:rPr>
              <w:t>Recorded against 5 items: 4 noted as working, 1 as not working or damaged. The second group is named in section 6.</w:t>
            </w:r>
          </w:p>
        </w:tc>
      </w:tr>
      <w:tr>
        <w:tc>
          <w:tcPr>
            <w:tcW w:type="dxa" w:w="4320"/>
          </w:tcPr>
          <w:p>
            <w:r/>
            <w:r>
              <w:rPr>
                <w:b w:val="0"/>
                <w:i w:val="0"/>
              </w:rPr>
              <w:t>Usage / performance</w:t>
            </w:r>
          </w:p>
        </w:tc>
        <w:tc>
          <w:tcPr>
            <w:tcW w:type="dxa" w:w="4320"/>
          </w:tcPr>
          <w:p>
            <w:r/>
            <w:r>
              <w:rPr>
                <w:b w:val="0"/>
                <w:i w:val="0"/>
              </w:rPr>
              <w:t>Recorded against 5 items: 1 in service and 4 out of it, the latter boxed or held in the store.</w:t>
            </w:r>
          </w:p>
        </w:tc>
      </w:tr>
      <w:tr>
        <w:tc>
          <w:tcPr>
            <w:tcW w:type="dxa" w:w="4320"/>
          </w:tcPr>
          <w:p>
            <w:r/>
            <w:r>
              <w:rPr>
                <w:b w:val="0"/>
                <w:i w:val="0"/>
              </w:rPr>
              <w:t>Location</w:t>
            </w:r>
          </w:p>
        </w:tc>
        <w:tc>
          <w:tcPr>
            <w:tcW w:type="dxa" w:w="4320"/>
          </w:tcPr>
          <w:p>
            <w:r/>
            <w:r>
              <w:rPr>
                <w:b w:val="0"/>
                <w:i w:val="0"/>
              </w:rPr>
              <w:t>Only the facility itself. No room, block or store was recorded against individual assets.</w:t>
            </w:r>
          </w:p>
        </w:tc>
      </w:tr>
    </w:tbl>
    <w:p/>
    <w:p>
      <w:pPr>
        <w:pStyle w:val="Heading1"/>
      </w:pPr>
      <w:r>
        <w:t>4. Supplied against found</w:t>
      </w:r>
    </w:p>
    <w:p>
      <w:r>
        <w:rPr>
          <w:b w:val="0"/>
          <w:i w:val="0"/>
        </w:rPr>
        <w:t>This facility keeps a bound asset register of its own. Sixty-one lines are on file, entered on 1 October 2022 with a quantity against each. That is the facility's record of what it holds, not a record of what was supplied, and it marks no line as a programme asset, so it answers neither half of the comparison. No delivery note for this facility is on file.</w:t>
      </w:r>
    </w:p>
    <w:p>
      <w:r>
        <w:rPr>
          <w:b w:val="0"/>
          <w:i w:val="0"/>
        </w:rPr>
        <w:t>15 of the items recorded here carry a count.</w:t>
      </w:r>
    </w:p>
    <w:p>
      <w:pPr>
        <w:pStyle w:val="Heading1"/>
      </w:pPr>
      <w:r>
        <w:t>5. Engraving and identification</w:t>
      </w:r>
    </w:p>
    <w:p>
      <w:r>
        <w:rPr>
          <w:b/>
          <w:i w:val="0"/>
        </w:rPr>
        <w:t>Engraved (8):</w:t>
      </w:r>
      <w:r>
        <w:rPr>
          <w:b w:val="0"/>
          <w:i w:val="0"/>
        </w:rPr>
        <w:t xml:space="preserve"> Bedside locker, Benches, Cupboard steel lockable, Desks, Paediatric bed, Patient beds, Refrigerator, Weighing scale Toddler.</w:t>
      </w:r>
    </w:p>
    <w:p>
      <w:r>
        <w:rPr>
          <w:b/>
          <w:i w:val="0"/>
        </w:rPr>
        <w:t>Not engraved (5).</w:t>
      </w:r>
      <w:r>
        <w:rPr>
          <w:b w:val="0"/>
          <w:i w:val="0"/>
        </w:rPr>
        <w:t xml:space="preserve"> Benches, Item not named, Oxygen therapy Apparatus 45L, Stretcher, Wall clock.</w:t>
      </w:r>
    </w:p>
    <w:p>
      <w:r>
        <w:rPr>
          <w:b w:val="0"/>
          <w:i w:val="0"/>
        </w:rPr>
        <w:t>No serial number was recorded against any item here.</w:t>
      </w:r>
    </w:p>
    <w:p>
      <w:pPr>
        <w:pStyle w:val="Heading1"/>
      </w:pPr>
      <w:r>
        <w:t>6. Obsolete, unserviceable or for disposal</w:t>
      </w:r>
    </w:p>
    <w:p>
      <w:r>
        <w:rPr>
          <w:b w:val="0"/>
          <w:i w:val="0"/>
        </w:rPr>
        <w:t>These were noted on site, and no others:</w:t>
      </w:r>
    </w:p>
    <w:p>
      <w:pPr>
        <w:pStyle w:val="ListBullet"/>
      </w:pPr>
      <w:r>
        <w:rPr>
          <w:b w:val="0"/>
          <w:i w:val="0"/>
        </w:rPr>
        <w:t>Lab stool 4 one of them is not functional.</w:t>
      </w:r>
    </w:p>
    <w:p>
      <w:r>
        <w:rPr>
          <w:b w:val="0"/>
          <w:i w:val="0"/>
        </w:rPr>
        <w:t>Nothing was recommended for disposal in terms.</w:t>
      </w:r>
    </w:p>
    <w:p>
      <w:pPr>
        <w:pStyle w:val="Heading1"/>
      </w:pPr>
      <w:r>
        <w:t>7. Operation and maintenance</w:t>
      </w:r>
    </w:p>
    <w:p>
      <w:r>
        <w:rPr>
          <w:b w:val="0"/>
          <w:i w:val="0"/>
        </w:rPr>
        <w:t>Nothing was reported about operation, maintenance or the challenges the facility administration raised. The toolkit's discussion guide - maintenance, functionality records, and how UgIFT support has helped service delivery - was not answered for this facility.</w:t>
      </w:r>
    </w:p>
    <w:p>
      <w:pPr>
        <w:pStyle w:val="Heading1"/>
      </w:pPr>
      <w:r>
        <w:t>8. Queries</w:t>
      </w:r>
    </w:p>
    <w:p>
      <w:pPr>
        <w:pStyle w:val="ListBullet"/>
      </w:pPr>
      <w:r>
        <w:rPr>
          <w:b w:val="0"/>
          <w:i w:val="0"/>
        </w:rPr>
        <w:t>Moyok HC III keeps its own bound asset register, and it does not mark the UgIFT lines.</w:t>
      </w:r>
    </w:p>
    <w:p>
      <w:pPr>
        <w:pStyle w:val="ListBullet"/>
      </w:pPr>
      <w:r>
        <w:rPr>
          <w:b w:val="0"/>
          <w:i w:val="0"/>
        </w:rPr>
        <w:t>A sheet recorded as Moyok's delivery note is a second sheet of its asset register.</w:t>
      </w:r>
    </w:p>
    <w:p>
      <w:pPr>
        <w:pStyle w:val="ListBullet"/>
      </w:pPr>
      <w:r>
        <w:rPr>
          <w:b w:val="0"/>
          <w:i w:val="0"/>
        </w:rPr>
        <w:t>Two of Moyok HC III's four wheelchairs were moved to Kaproron HC IV.</w:t>
      </w:r>
    </w:p>
    <w:p>
      <w:pPr>
        <w:pStyle w:val="ListBullet"/>
      </w:pPr>
      <w:r>
        <w:rPr>
          <w:b w:val="0"/>
          <w:i w:val="0"/>
        </w:rPr>
        <w:t>Engraving is on the equipment at two of the five Kween health centres.</w:t>
      </w:r>
    </w:p>
    <w:p>
      <w:pPr>
        <w:pStyle w:val="ListBullet"/>
      </w:pPr>
      <w:r>
        <w:rPr>
          <w:b w:val="0"/>
          <w:i w:val="0"/>
        </w:rPr>
        <w:t>The engraved marks carry no sequence number, so two identical items read alike.</w:t>
      </w:r>
    </w:p>
    <w:p>
      <w:pPr>
        <w:pStyle w:val="ListBullet"/>
      </w:pPr>
      <w:r>
        <w:rPr>
          <w:b w:val="0"/>
          <w:i w:val="0"/>
        </w:rPr>
        <w:t>The informant discussion guide was not answered for this facility, so questions 1a, 1b, 2, 3 and 4 of the toolkit are outstanding.</w:t>
      </w:r>
    </w:p>
    <w:p>
      <w:pPr>
        <w:pStyle w:val="ListBullet"/>
      </w:pPr>
      <w:r>
        <w:rPr>
          <w:b w:val="0"/>
          <w:i w:val="0"/>
        </w:rPr>
        <w:t>The toolkit filled in by hand on site and naming this facility has not come in,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