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val="0"/>
          <w:i w:val="0"/>
        </w:rPr>
        <w:t>Team 15 - Alybo Marry Topista, Shadrack Biyinzika, Nakiwala Doreen. Supervisor: Kassim Luminsa. Worked 2026-08-24 to 2026-08-31.</w:t>
      </w:r>
    </w:p>
    <w:p>
      <w:pPr>
        <w:pStyle w:val="Heading1"/>
      </w:pPr>
      <w:r>
        <w:t>Introduction</w:t>
      </w:r>
    </w:p>
    <w:p>
      <w:r>
        <w:rPr>
          <w:b w:val="0"/>
          <w:i w:val="0"/>
        </w:rPr>
        <w:t>This team was given four local governments in the Elgon sub-region of eastern Uganda - Bukwo, Kween, Kapchorwa and Kapchorwa Municipal Council - and the seed secondary schools and health centres in them that the programme built or equipped. The exercise asks of every one of those assets who owns it, whether it works, whether it is in use and where it stands. The work ran from 24 to 31 August 2026.</w:t>
      </w:r>
    </w:p>
    <w:p>
      <w:pPr>
        <w:pStyle w:val="Heading1"/>
      </w:pPr>
      <w:r>
        <w:t>Process and methodology</w:t>
      </w:r>
    </w:p>
    <w:p>
      <w:r>
        <w:rPr>
          <w:b w:val="0"/>
          <w:i w:val="0"/>
        </w:rPr>
        <w:t>The team is Alybo Marry Topista, Shadrack Biyinzika, Nakiwala Doreen, and the supervisor is Kassim Luminsa. All four local governments were opened: Bukwo from 24 to 26 August, Kween from the afternoon of 26 August to the 28th, then Kapchorwa District and Kapchorwa Municipal Council from the evening of 28 August through 31 August. Each facility is recorded against the member who worked it and each day against the local government it was worked in.</w:t>
      </w:r>
    </w:p>
    <w:p>
      <w:r>
        <w:rPr>
          <w:b w:val="0"/>
          <w:i w:val="0"/>
        </w:rPr>
        <w:t xml:space="preserve">In each local government the pattern was the same: reach the facility, sign its visitors' book, ask for whatever record of assets it keeps, then go round the wards, classrooms, stores and grounds recording each item, its count where one could be made, whether it carries a mark, whether it works and whether it is in service. </w:t>
      </w:r>
      <w:r>
        <w:rPr>
          <w:b/>
          <w:i w:val="0"/>
        </w:rPr>
        <w:t>23 facilities were worked and written up across the four local governments, and 1370 photographs were returned.</w:t>
      </w:r>
      <w:r>
        <w:rPr>
          <w:b w:val="0"/>
          <w:i w:val="0"/>
        </w:rPr>
        <w:t xml:space="preserve"> On 31 August the team also sent in the hand-filled verification booklets for the facilities it had worked.</w:t>
      </w:r>
    </w:p>
    <w:p>
      <w:r>
        <w:rPr>
          <w:b/>
          <w:i w:val="0"/>
        </w:rPr>
        <w:t>Hand-filled registers that name their own facility are now on file for 23 facilities.</w:t>
      </w:r>
      <w:r>
        <w:rPr>
          <w:b w:val="0"/>
          <w:i w:val="0"/>
        </w:rPr>
        <w:t xml:space="preserve"> Four of those have been written up into the programme toolkit (Amanang HC III, Aralam HC III, Atar HC III, Benet HC III, Brim HC III, Chemosong HC III, Chepkwasta HC III, Kabeywa Seed Secondary School, Kapkoros HC III, Kaplelko HC III, Kaptanya Seed Secondary School, Kaptererwo Seed Secondary School, Kaptum HC III, Kaptum Seed Secondary School, Kitawoi Seed Secondary School, Kwirwot HC III, Moyok HC III, Moyok Seed Secondary School, Mutushet HC III, Ngangatta HC III, Senendet Seed Secondary School, Terenpoy HC III, Tulel HC III). The rest stay photographed until each booklet is written up line by line; nothing is invented from what the team wrote afterwards alone.</w:t>
      </w:r>
    </w:p>
    <w:p>
      <w:r>
        <w:rPr>
          <w:b w:val="0"/>
          <w:i w:val="0"/>
        </w:rPr>
        <w:t>The allocation for this team is 23 facilities across the four local governments, and the reconciliation against the programme list returns 22. The one facility between those two figures is the health centre allocated to Kapchorwa Municipal Council, which the list carries under a differently written name for that council. The allocation governs the count and the list governs the names, so the two documents need reconciling before either figure is leaned on.</w:t>
      </w:r>
    </w:p>
    <w:p>
      <w:r>
        <w:rPr>
          <w:b/>
          <w:i w:val="0"/>
        </w:rPr>
        <w:t>No local government is pending.</w:t>
      </w:r>
      <w:r>
        <w:rPr>
          <w:b w:val="0"/>
          <w:i w:val="0"/>
        </w:rPr>
        <w:t xml:space="preserve"> Every one of the four has a return on file.</w:t>
      </w:r>
    </w:p>
    <w:p>
      <w:pPr>
        <w:pStyle w:val="Heading1"/>
      </w:pPr>
      <w:r>
        <w:t>Emerging issues and challenges</w:t>
      </w:r>
    </w:p>
    <w:p>
      <w:pPr>
        <w:pStyle w:val="ListBullet"/>
      </w:pPr>
      <w:r>
        <w:rPr>
          <w:b/>
          <w:i w:val="0"/>
        </w:rPr>
        <w:t>District records of programme assets are thin.</w:t>
      </w:r>
      <w:r>
        <w:rPr>
          <w:b w:val="0"/>
          <w:i w:val="0"/>
        </w:rPr>
        <w:t xml:space="preserve"> Bukwo produced a delivery note covering five of its ten facilities. Kween and Kapchorwa produced nothing at district level: records obtained there were held at facilities.</w:t>
      </w:r>
    </w:p>
    <w:p>
      <w:pPr>
        <w:pStyle w:val="ListBullet"/>
      </w:pPr>
      <w:r>
        <w:rPr>
          <w:b/>
          <w:i w:val="0"/>
        </w:rPr>
        <w:t>Where a facility keeps its own record, it often does not mark which lines came through the programme.</w:t>
      </w:r>
      <w:r>
        <w:rPr>
          <w:b w:val="0"/>
          <w:i w:val="0"/>
        </w:rPr>
        <w:t xml:space="preserve"> Moyok HC III's bound asset register is one example.</w:t>
      </w:r>
    </w:p>
    <w:p>
      <w:pPr>
        <w:pStyle w:val="ListBullet"/>
      </w:pPr>
      <w:r>
        <w:rPr>
          <w:b/>
          <w:i w:val="0"/>
        </w:rPr>
        <w:t>Engraving is uneven.</w:t>
      </w:r>
      <w:r>
        <w:rPr>
          <w:b w:val="0"/>
          <w:i w:val="0"/>
        </w:rPr>
        <w:t xml:space="preserve"> Some health centres carry marks; several schools and health centres still have none, and some marks name the facility without a sequence number.</w:t>
      </w:r>
    </w:p>
    <w:p>
      <w:pPr>
        <w:pStyle w:val="ListBullet"/>
      </w:pPr>
      <w:r>
        <w:rPr>
          <w:b/>
          <w:i w:val="0"/>
        </w:rPr>
        <w:t>Equipment is still boxed where buildings are unfinished or not handed over.</w:t>
      </w:r>
      <w:r>
        <w:rPr>
          <w:b w:val="0"/>
          <w:i w:val="0"/>
        </w:rPr>
        <w:t xml:space="preserve"> Benet, Kaptum and parts of Kapchorwa show the same pattern.</w:t>
      </w:r>
    </w:p>
    <w:p>
      <w:pPr>
        <w:pStyle w:val="ListBullet"/>
      </w:pPr>
      <w:r>
        <w:rPr>
          <w:b/>
          <w:i w:val="0"/>
        </w:rPr>
        <w:t>Schools report ICT losses and shortages.</w:t>
      </w:r>
      <w:r>
        <w:rPr>
          <w:b w:val="0"/>
          <w:i w:val="0"/>
        </w:rPr>
        <w:t xml:space="preserve"> Kabeywa reported twenty-three UPS units stolen and a projector lost; other schools still await ICT deliveries.</w:t>
      </w:r>
    </w:p>
    <w:p>
      <w:pPr>
        <w:pStyle w:val="ListBullet"/>
      </w:pPr>
      <w:r>
        <w:rPr>
          <w:b/>
          <w:i w:val="0"/>
        </w:rPr>
        <w:t>Discussion guides are now answered in the hand-filled booklets</w:t>
      </w:r>
      <w:r>
        <w:rPr>
          <w:b w:val="0"/>
          <w:i w:val="0"/>
        </w:rPr>
        <w:t>, so maintenance and functionality practice can be read from those pages rather than left unknown.</w:t>
      </w:r>
    </w:p>
    <w:p>
      <w:pPr>
        <w:pStyle w:val="Heading1"/>
      </w:pPr>
      <w:r>
        <w:t>Recommendations</w:t>
      </w:r>
    </w:p>
    <w:p>
      <w:pPr>
        <w:pStyle w:val="ListBullet"/>
      </w:pPr>
      <w:r>
        <w:rPr>
          <w:b/>
          <w:i w:val="0"/>
        </w:rPr>
        <w:t>Each district should open a register of its programme assets</w:t>
      </w:r>
      <w:r>
        <w:rPr>
          <w:b w:val="0"/>
          <w:i w:val="0"/>
        </w:rPr>
        <w:t xml:space="preserve"> and keep it, either on its own or flagged inside the general asset listing.</w:t>
      </w:r>
    </w:p>
    <w:p>
      <w:pPr>
        <w:pStyle w:val="ListBullet"/>
      </w:pPr>
      <w:r>
        <w:rPr>
          <w:b/>
          <w:i w:val="0"/>
        </w:rPr>
        <w:t>Facilities that keep a record of their own should mark the programme lines</w:t>
      </w:r>
      <w:r>
        <w:rPr>
          <w:b w:val="0"/>
          <w:i w:val="0"/>
        </w:rPr>
        <w:t>, and the district should confirm those lines against its procurement record.</w:t>
      </w:r>
    </w:p>
    <w:p>
      <w:pPr>
        <w:pStyle w:val="ListBullet"/>
      </w:pPr>
      <w:r>
        <w:rPr>
          <w:b/>
          <w:i w:val="0"/>
        </w:rPr>
        <w:t>Engrave what is not engraved, and add a sequence number to the form already in use.</w:t>
      </w:r>
      <w:r>
        <w:rPr>
          <w:b w:val="0"/>
          <w:i w:val="0"/>
        </w:rPr>
        <w:t xml:space="preserve"> Each district should fix a date and name the officer answerable for it.</w:t>
      </w:r>
    </w:p>
    <w:p>
      <w:pPr>
        <w:pStyle w:val="ListBullet"/>
      </w:pPr>
      <w:r>
        <w:rPr>
          <w:b/>
          <w:i w:val="0"/>
        </w:rPr>
        <w:t>Hand finished buildings over so boxed equipment can be used</w:t>
      </w:r>
      <w:r>
        <w:rPr>
          <w:b w:val="0"/>
          <w:i w:val="0"/>
        </w:rPr>
        <w:t>, and where handover has to wait, record who is answerable for the stored items.</w:t>
      </w:r>
    </w:p>
    <w:p>
      <w:pPr>
        <w:pStyle w:val="ListBullet"/>
      </w:pPr>
      <w:r>
        <w:rPr>
          <w:b/>
          <w:i w:val="0"/>
        </w:rPr>
        <w:t>Replace or account for stolen and lost ICT at Kabeywa</w:t>
      </w:r>
      <w:r>
        <w:rPr>
          <w:b w:val="0"/>
          <w:i w:val="0"/>
        </w:rPr>
        <w:t>, and deliver outstanding ICT, shelves and fences where schools still wait.</w:t>
      </w:r>
    </w:p>
    <w:p>
      <w:pPr>
        <w:pStyle w:val="ListBullet"/>
      </w:pPr>
      <w:r>
        <w:rPr>
          <w:b/>
          <w:i w:val="0"/>
        </w:rPr>
        <w:t>Write up every remaining hand-filled booklet into the programme toolkit</w:t>
      </w:r>
      <w:r>
        <w:rPr>
          <w:b w:val="0"/>
          <w:i w:val="0"/>
        </w:rPr>
        <w:t xml:space="preserve"> so each named register becomes a completed verification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