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Amanang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Amanang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2026-08-24, 2026-08-26</w:t>
            </w:r>
          </w:p>
        </w:tc>
      </w:tr>
      <w:tr>
        <w:tc>
          <w:tcPr>
            <w:tcW w:type="dxa" w:w="4320"/>
          </w:tcPr>
          <w:p>
            <w:r/>
            <w:r>
              <w:rPr>
                <w:b w:val="0"/>
                <w:i w:val="0"/>
              </w:rPr>
              <w:t>Team members present</w:t>
            </w:r>
          </w:p>
        </w:tc>
        <w:tc>
          <w:tcPr>
            <w:tcW w:type="dxa" w:w="4320"/>
          </w:tcPr>
          <w:p>
            <w:r/>
            <w:r>
              <w:rPr>
                <w:b w:val="0"/>
                <w:i w:val="0"/>
              </w:rPr>
              <w:t>Alydo Mary Topista, 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Reported for some items: Bag valve mask(2) 1 not seen</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This facility appears on the district delivery note. Of its 27 outpatient lines, 4 were counted here and 23 were not. Supplied and found are kept apart: the figures below are what the note says against what was counted.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Item</w:t>
            </w:r>
          </w:p>
        </w:tc>
        <w:tc>
          <w:tcPr>
            <w:tcW w:type="dxa" w:w="2880"/>
          </w:tcPr>
          <w:p>
            <w:r>
              <w:rPr>
                <w:b/>
              </w:rPr>
            </w:r>
            <w:r>
              <w:rPr>
                <w:b/>
                <w:i w:val="0"/>
              </w:rPr>
              <w:t>Supplied</w:t>
            </w:r>
          </w:p>
        </w:tc>
        <w:tc>
          <w:tcPr>
            <w:tcW w:type="dxa" w:w="2880"/>
          </w:tcPr>
          <w:p>
            <w:r>
              <w:rPr>
                <w:b/>
              </w:rPr>
            </w:r>
            <w:r>
              <w:rPr>
                <w:b/>
                <w:i w:val="0"/>
              </w:rPr>
              <w:t>Found</w:t>
            </w:r>
          </w:p>
        </w:tc>
      </w:tr>
      <w:tr>
        <w:tc>
          <w:tcPr>
            <w:tcW w:type="dxa" w:w="2880"/>
          </w:tcPr>
          <w:p>
            <w:r/>
            <w:r>
              <w:rPr>
                <w:b w:val="0"/>
                <w:i w:val="0"/>
              </w:rPr>
              <w:t>Drip Stand</w:t>
            </w:r>
          </w:p>
        </w:tc>
        <w:tc>
          <w:tcPr>
            <w:tcW w:type="dxa" w:w="2880"/>
          </w:tcPr>
          <w:p>
            <w:r/>
            <w:r>
              <w:rPr>
                <w:b w:val="0"/>
                <w:i w:val="0"/>
              </w:rPr>
              <w:t>3</w:t>
            </w:r>
          </w:p>
        </w:tc>
        <w:tc>
          <w:tcPr>
            <w:tcW w:type="dxa" w:w="2880"/>
          </w:tcPr>
          <w:p>
            <w:r/>
            <w:r>
              <w:rPr>
                <w:b w:val="0"/>
                <w:i w:val="0"/>
              </w:rPr>
              <w:t>5, recorded as Drip stand</w:t>
            </w:r>
          </w:p>
        </w:tc>
      </w:tr>
      <w:tr>
        <w:tc>
          <w:tcPr>
            <w:tcW w:type="dxa" w:w="2880"/>
          </w:tcPr>
          <w:p>
            <w:r/>
            <w:r>
              <w:rPr>
                <w:b w:val="0"/>
                <w:i w:val="0"/>
              </w:rPr>
              <w:t>Examination Couch</w:t>
            </w:r>
          </w:p>
        </w:tc>
        <w:tc>
          <w:tcPr>
            <w:tcW w:type="dxa" w:w="2880"/>
          </w:tcPr>
          <w:p>
            <w:r/>
            <w:r>
              <w:rPr>
                <w:b w:val="0"/>
                <w:i w:val="0"/>
              </w:rPr>
              <w:t>2</w:t>
            </w:r>
          </w:p>
        </w:tc>
        <w:tc>
          <w:tcPr>
            <w:tcW w:type="dxa" w:w="2880"/>
          </w:tcPr>
          <w:p>
            <w:r/>
            <w:r>
              <w:rPr>
                <w:b w:val="0"/>
                <w:i w:val="0"/>
              </w:rPr>
              <w:t>4, recorded as Examination couch</w:t>
            </w:r>
          </w:p>
        </w:tc>
      </w:tr>
      <w:tr>
        <w:tc>
          <w:tcPr>
            <w:tcW w:type="dxa" w:w="2880"/>
          </w:tcPr>
          <w:p>
            <w:r/>
            <w:r>
              <w:rPr>
                <w:b w:val="0"/>
                <w:i w:val="0"/>
              </w:rPr>
              <w:t>Examination Light</w:t>
            </w:r>
          </w:p>
        </w:tc>
        <w:tc>
          <w:tcPr>
            <w:tcW w:type="dxa" w:w="2880"/>
          </w:tcPr>
          <w:p>
            <w:r/>
            <w:r>
              <w:rPr>
                <w:b w:val="0"/>
                <w:i w:val="0"/>
              </w:rPr>
              <w:t>2</w:t>
            </w:r>
          </w:p>
        </w:tc>
        <w:tc>
          <w:tcPr>
            <w:tcW w:type="dxa" w:w="2880"/>
          </w:tcPr>
          <w:p>
            <w:r/>
            <w:r>
              <w:rPr>
                <w:b w:val="0"/>
                <w:i w:val="0"/>
              </w:rPr>
              <w:t>not settled - Examination lights LED, Examination light all answer to this line</w:t>
            </w:r>
          </w:p>
        </w:tc>
      </w:tr>
      <w:tr>
        <w:tc>
          <w:tcPr>
            <w:tcW w:type="dxa" w:w="2880"/>
          </w:tcPr>
          <w:p>
            <w:r/>
            <w:r>
              <w:rPr>
                <w:b w:val="0"/>
                <w:i w:val="0"/>
              </w:rPr>
              <w:t>Patient Screen</w:t>
            </w:r>
          </w:p>
        </w:tc>
        <w:tc>
          <w:tcPr>
            <w:tcW w:type="dxa" w:w="2880"/>
          </w:tcPr>
          <w:p>
            <w:r/>
            <w:r>
              <w:rPr>
                <w:b w:val="0"/>
                <w:i w:val="0"/>
              </w:rPr>
              <w:t>3</w:t>
            </w:r>
          </w:p>
        </w:tc>
        <w:tc>
          <w:tcPr>
            <w:tcW w:type="dxa" w:w="2880"/>
          </w:tcPr>
          <w:p>
            <w:r/>
            <w:r>
              <w:rPr>
                <w:b w:val="0"/>
                <w:i w:val="0"/>
              </w:rPr>
              <w:t>5, recorded as Patient screen</w:t>
            </w:r>
          </w:p>
        </w:tc>
      </w:tr>
    </w:tbl>
    <w:p/>
    <w:p>
      <w:r>
        <w:rPr>
          <w:b w:val="0"/>
          <w:i w:val="0"/>
        </w:rPr>
        <w:t>Counted here but not on that schedule: Bag valve mask, Bench, Delivery bed, Examination light, Examination lights LED, Kangaroo mother care chair, Medical waste bin, Neonatal beds, Non Residential building, Office chair, Oxygen concentrator, Paediatric beds, Pit latrine and wash rooms, Refrigerator, Residential building, Suction apparatus, Water tanks. Some may sit on the maternity schedule, which has not been gone through.</w:t>
      </w:r>
    </w:p>
    <w:p>
      <w:r>
        <w:rPr>
          <w:b w:val="0"/>
          <w:i w:val="0"/>
        </w:rPr>
        <w:t>A handwritten equipment handover list is also on file for this facility, in two views. It carries 33 lines with a quantity against each, is dated 15 June 2025, and is signed by the delivering technician, the LC1 chairperson and the health unit management committee chairperson. It records what was handed over. Its lines have not yet been set against what was counted here, and that is carried as an open item.</w:t>
      </w:r>
    </w:p>
    <w:p>
      <w:pPr>
        <w:pStyle w:val="Heading1"/>
      </w:pPr>
      <w:r>
        <w:t>5. Engraving and identification</w:t>
      </w:r>
    </w:p>
    <w:p>
      <w:r>
        <w:rPr>
          <w:b/>
          <w:i w:val="0"/>
        </w:rPr>
        <w:t>Not engraved (1).</w:t>
      </w:r>
      <w:r>
        <w:rPr>
          <w:b w:val="0"/>
          <w:i w:val="0"/>
        </w:rPr>
        <w:t xml:space="preserve"> Medical waste bins.</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Bag valve mask(2) 1 not seen.</w:t>
      </w:r>
    </w:p>
    <w:p>
      <w:r>
        <w:rPr>
          <w:b w:val="0"/>
          <w:i w:val="0"/>
        </w:rPr>
        <w:t>Nothing was recommended for disposal in terms.</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Three photographs first recorded at Amanang were recorded again at Kapkoros HC III.</w:t>
      </w:r>
    </w:p>
    <w:p>
      <w:pPr>
        <w:pStyle w:val="ListBullet"/>
      </w:pPr>
      <w:r>
        <w:rPr>
          <w:b w:val="0"/>
          <w:i w:val="0"/>
        </w:rPr>
        <w:t>A handwritten equipment handover list of 33 lines for Amanang HC III has not been gone through.</w:t>
      </w:r>
    </w:p>
    <w:p>
      <w:pPr>
        <w:pStyle w:val="ListBullet"/>
      </w:pPr>
      <w:r>
        <w:rPr>
          <w:b w:val="0"/>
          <w:i w:val="0"/>
        </w:rPr>
        <w:t>The delivery note's maternity schedule of roughly 44 lines has not been gone through.</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