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Kwirwot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Kwirwot HC III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Bukwo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Date(s) of visit</w:t>
            </w:r>
          </w:p>
        </w:tc>
        <w:tc>
          <w:tcPr>
            <w:tcW w:type="dxa" w:w="4320"/>
          </w:tcPr>
          <w:p>
            <w:r/>
            <w:r>
              <w:rPr>
                <w:b w:val="0"/>
                <w:i w:val="0"/>
              </w:rPr>
              <w:t>2026-08-24</w:t>
            </w:r>
          </w:p>
        </w:tc>
      </w:tr>
      <w:tr>
        <w:tc>
          <w:tcPr>
            <w:tcW w:type="dxa" w:w="4320"/>
          </w:tcPr>
          <w:p>
            <w:r/>
            <w:r>
              <w:rPr>
                <w:b w:val="0"/>
                <w:i w:val="0"/>
              </w:rPr>
              <w:t>Team members present</w:t>
            </w:r>
          </w:p>
        </w:tc>
        <w:tc>
          <w:tcPr>
            <w:tcW w:type="dxa" w:w="4320"/>
          </w:tcPr>
          <w:p>
            <w:r/>
            <w:r>
              <w:rPr>
                <w:b w:val="0"/>
                <w:i w:val="0"/>
              </w:rPr>
              <w:t>Alydo Mary Topista, Shadrack</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Informant interviewed</w:t>
            </w:r>
          </w:p>
        </w:tc>
        <w:tc>
          <w:tcPr>
            <w:tcW w:type="dxa" w:w="4320"/>
          </w:tcPr>
          <w:p>
            <w:r/>
            <w:r>
              <w:rPr>
                <w:b w:val="0"/>
                <w:i w:val="0"/>
              </w:rPr>
              <w:t>Not recorded</w:t>
            </w:r>
          </w:p>
        </w:tc>
      </w:tr>
    </w:tbl>
    <w:p/>
    <w:p>
      <w:pPr>
        <w:pStyle w:val="Heading1"/>
      </w:pPr>
      <w:r>
        <w:t>2. Entry</w:t>
      </w:r>
    </w:p>
    <w:p>
      <w:r>
        <w:rPr>
          <w:b w:val="0"/>
          <w:i w:val="0"/>
        </w:rPr>
        <w:t>No visitors' book was photographed here, so nothing shows the team signed in on the facility's own record. Nothing about getting in or being allowed to work was raised either.</w:t>
      </w:r>
    </w:p>
    <w:p>
      <w:pPr>
        <w:pStyle w:val="Heading1"/>
      </w:pPr>
      <w:r>
        <w:t>3. Condition and status</w:t>
      </w:r>
    </w:p>
    <w:p>
      <w:r>
        <w:rPr>
          <w:b w:val="0"/>
          <w:i w:val="0"/>
        </w:rPr>
        <w:t>The four things this exercise sets out to settle. What the visit settled is entered below, what it did not is marked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 for this facility.</w:t>
            </w:r>
          </w:p>
        </w:tc>
      </w:tr>
      <w:tr>
        <w:tc>
          <w:tcPr>
            <w:tcW w:type="dxa" w:w="4320"/>
          </w:tcPr>
          <w:p>
            <w:r/>
            <w:r>
              <w:rPr>
                <w:b w:val="0"/>
                <w:i w:val="0"/>
              </w:rPr>
              <w:t>Functionality</w:t>
            </w:r>
          </w:p>
        </w:tc>
        <w:tc>
          <w:tcPr>
            <w:tcW w:type="dxa" w:w="4320"/>
          </w:tcPr>
          <w:p>
            <w:r/>
            <w:r>
              <w:rPr>
                <w:b w:val="0"/>
                <w:i w:val="0"/>
              </w:rPr>
              <w:t>Not reported. No item was recorded as working or not working.</w:t>
            </w:r>
          </w:p>
        </w:tc>
      </w:tr>
      <w:tr>
        <w:tc>
          <w:tcPr>
            <w:tcW w:type="dxa" w:w="4320"/>
          </w:tcPr>
          <w:p>
            <w:r/>
            <w:r>
              <w:rPr>
                <w:b w:val="0"/>
                <w:i w:val="0"/>
              </w:rPr>
              <w:t>Usage / performance</w:t>
            </w:r>
          </w:p>
        </w:tc>
        <w:tc>
          <w:tcPr>
            <w:tcW w:type="dxa" w:w="4320"/>
          </w:tcPr>
          <w:p>
            <w:r/>
            <w:r>
              <w:rPr>
                <w:b w:val="0"/>
                <w:i w:val="0"/>
              </w:rPr>
              <w:t>Not reported.</w:t>
            </w:r>
          </w:p>
        </w:tc>
      </w:tr>
      <w:tr>
        <w:tc>
          <w:tcPr>
            <w:tcW w:type="dxa" w:w="4320"/>
          </w:tcPr>
          <w:p>
            <w:r/>
            <w:r>
              <w:rPr>
                <w:b w:val="0"/>
                <w:i w:val="0"/>
              </w:rPr>
              <w:t>Location</w:t>
            </w:r>
          </w:p>
        </w:tc>
        <w:tc>
          <w:tcPr>
            <w:tcW w:type="dxa" w:w="4320"/>
          </w:tcPr>
          <w:p>
            <w:r/>
            <w:r>
              <w:rPr>
                <w:b w:val="0"/>
                <w:i w:val="0"/>
              </w:rPr>
              <w:t>Only the facility itself. No room, block or store was recorded against individual assets.</w:t>
            </w:r>
          </w:p>
        </w:tc>
      </w:tr>
    </w:tbl>
    <w:p/>
    <w:p>
      <w:pPr>
        <w:pStyle w:val="Heading1"/>
      </w:pPr>
      <w:r>
        <w:t>4. Supplied against found</w:t>
      </w:r>
    </w:p>
    <w:p>
      <w:r>
        <w:rPr>
          <w:b w:val="0"/>
          <w:i w:val="0"/>
        </w:rPr>
        <w:t>This facility appears on the district delivery note. Of its 27 outpatient lines, 6 were counted here and 21 were not. Supplied and found are kept apart: the figures below are what the note says against what was counted.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Item</w:t>
            </w:r>
          </w:p>
        </w:tc>
        <w:tc>
          <w:tcPr>
            <w:tcW w:type="dxa" w:w="2880"/>
          </w:tcPr>
          <w:p>
            <w:r>
              <w:rPr>
                <w:b/>
              </w:rPr>
            </w:r>
            <w:r>
              <w:rPr>
                <w:b/>
                <w:i w:val="0"/>
              </w:rPr>
              <w:t>Supplied</w:t>
            </w:r>
          </w:p>
        </w:tc>
        <w:tc>
          <w:tcPr>
            <w:tcW w:type="dxa" w:w="2880"/>
          </w:tcPr>
          <w:p>
            <w:r>
              <w:rPr>
                <w:b/>
              </w:rPr>
            </w:r>
            <w:r>
              <w:rPr>
                <w:b/>
                <w:i w:val="0"/>
              </w:rPr>
              <w:t>Found</w:t>
            </w:r>
          </w:p>
        </w:tc>
      </w:tr>
      <w:tr>
        <w:tc>
          <w:tcPr>
            <w:tcW w:type="dxa" w:w="2880"/>
          </w:tcPr>
          <w:p>
            <w:r/>
            <w:r>
              <w:rPr>
                <w:b w:val="0"/>
                <w:i w:val="0"/>
              </w:rPr>
              <w:t>Drip Stand</w:t>
            </w:r>
          </w:p>
        </w:tc>
        <w:tc>
          <w:tcPr>
            <w:tcW w:type="dxa" w:w="2880"/>
          </w:tcPr>
          <w:p>
            <w:r/>
            <w:r>
              <w:rPr>
                <w:b w:val="0"/>
                <w:i w:val="0"/>
              </w:rPr>
              <w:t>3</w:t>
            </w:r>
          </w:p>
        </w:tc>
        <w:tc>
          <w:tcPr>
            <w:tcW w:type="dxa" w:w="2880"/>
          </w:tcPr>
          <w:p>
            <w:r/>
            <w:r>
              <w:rPr>
                <w:b w:val="0"/>
                <w:i w:val="0"/>
              </w:rPr>
              <w:t>4, recorded as Drip stand</w:t>
            </w:r>
          </w:p>
        </w:tc>
      </w:tr>
      <w:tr>
        <w:tc>
          <w:tcPr>
            <w:tcW w:type="dxa" w:w="2880"/>
          </w:tcPr>
          <w:p>
            <w:r/>
            <w:r>
              <w:rPr>
                <w:b w:val="0"/>
                <w:i w:val="0"/>
              </w:rPr>
              <w:t>Patient Trolley</w:t>
            </w:r>
          </w:p>
        </w:tc>
        <w:tc>
          <w:tcPr>
            <w:tcW w:type="dxa" w:w="2880"/>
          </w:tcPr>
          <w:p>
            <w:r/>
            <w:r>
              <w:rPr>
                <w:b w:val="0"/>
                <w:i w:val="0"/>
              </w:rPr>
              <w:t>1</w:t>
            </w:r>
          </w:p>
        </w:tc>
        <w:tc>
          <w:tcPr>
            <w:tcW w:type="dxa" w:w="2880"/>
          </w:tcPr>
          <w:p>
            <w:r/>
            <w:r>
              <w:rPr>
                <w:b w:val="0"/>
                <w:i w:val="0"/>
              </w:rPr>
              <w:t>2, recorded as Patient trolleys</w:t>
            </w:r>
          </w:p>
        </w:tc>
      </w:tr>
      <w:tr>
        <w:tc>
          <w:tcPr>
            <w:tcW w:type="dxa" w:w="2880"/>
          </w:tcPr>
          <w:p>
            <w:r/>
            <w:r>
              <w:rPr>
                <w:b w:val="0"/>
                <w:i w:val="0"/>
              </w:rPr>
              <w:t>Weighing Scale, Adult</w:t>
            </w:r>
          </w:p>
        </w:tc>
        <w:tc>
          <w:tcPr>
            <w:tcW w:type="dxa" w:w="2880"/>
          </w:tcPr>
          <w:p>
            <w:r/>
            <w:r>
              <w:rPr>
                <w:b w:val="0"/>
                <w:i w:val="0"/>
              </w:rPr>
              <w:t>1</w:t>
            </w:r>
          </w:p>
        </w:tc>
        <w:tc>
          <w:tcPr>
            <w:tcW w:type="dxa" w:w="2880"/>
          </w:tcPr>
          <w:p>
            <w:r/>
            <w:r>
              <w:rPr>
                <w:b w:val="0"/>
                <w:i w:val="0"/>
              </w:rPr>
              <w:t>2, recorded as Automated weighing scale</w:t>
            </w:r>
          </w:p>
        </w:tc>
      </w:tr>
      <w:tr>
        <w:tc>
          <w:tcPr>
            <w:tcW w:type="dxa" w:w="2880"/>
          </w:tcPr>
          <w:p>
            <w:r/>
            <w:r>
              <w:rPr>
                <w:b w:val="0"/>
                <w:i w:val="0"/>
              </w:rPr>
              <w:t>Weighing Scale, Infant</w:t>
            </w:r>
          </w:p>
        </w:tc>
        <w:tc>
          <w:tcPr>
            <w:tcW w:type="dxa" w:w="2880"/>
          </w:tcPr>
          <w:p>
            <w:r/>
            <w:r>
              <w:rPr>
                <w:b w:val="0"/>
                <w:i w:val="0"/>
              </w:rPr>
              <w:t>1</w:t>
            </w:r>
          </w:p>
        </w:tc>
        <w:tc>
          <w:tcPr>
            <w:tcW w:type="dxa" w:w="2880"/>
          </w:tcPr>
          <w:p>
            <w:r/>
            <w:r>
              <w:rPr>
                <w:b w:val="0"/>
                <w:i w:val="0"/>
              </w:rPr>
              <w:t>2, recorded as Automated weighing scale</w:t>
            </w:r>
          </w:p>
        </w:tc>
      </w:tr>
      <w:tr>
        <w:tc>
          <w:tcPr>
            <w:tcW w:type="dxa" w:w="2880"/>
          </w:tcPr>
          <w:p>
            <w:r/>
            <w:r>
              <w:rPr>
                <w:b w:val="0"/>
                <w:i w:val="0"/>
              </w:rPr>
              <w:t>Weighing Scale, Toddler</w:t>
            </w:r>
          </w:p>
        </w:tc>
        <w:tc>
          <w:tcPr>
            <w:tcW w:type="dxa" w:w="2880"/>
          </w:tcPr>
          <w:p>
            <w:r/>
            <w:r>
              <w:rPr>
                <w:b w:val="0"/>
                <w:i w:val="0"/>
              </w:rPr>
              <w:t>1</w:t>
            </w:r>
          </w:p>
        </w:tc>
        <w:tc>
          <w:tcPr>
            <w:tcW w:type="dxa" w:w="2880"/>
          </w:tcPr>
          <w:p>
            <w:r/>
            <w:r>
              <w:rPr>
                <w:b w:val="0"/>
                <w:i w:val="0"/>
              </w:rPr>
              <w:t>2, recorded as Automated weighing scale</w:t>
            </w:r>
          </w:p>
        </w:tc>
      </w:tr>
    </w:tbl>
    <w:p/>
    <w:p>
      <w:r>
        <w:rPr>
          <w:b w:val="0"/>
          <w:i w:val="0"/>
        </w:rPr>
        <w:t>A further 1 line matched the note exactly.</w:t>
      </w:r>
    </w:p>
    <w:p>
      <w:r>
        <w:rPr>
          <w:b w:val="0"/>
          <w:i w:val="0"/>
        </w:rPr>
        <w:t>Counted here but not on that schedule: Autoclave, Autoclave stand, Bowel lotions, Filing cabinets, Glass instrument set, Hollow ware set Treatment, Instrument set Delivery, Microscope, Oxygen cylinders, Patient cupboards, Refrigerator, Sterilization drum, Trolleys. Some may sit on the maternity schedule, which has not been gone through.</w:t>
      </w:r>
    </w:p>
    <w:p>
      <w:pPr>
        <w:pStyle w:val="Heading1"/>
      </w:pPr>
      <w:r>
        <w:t>5. Engraving and identification</w:t>
      </w:r>
    </w:p>
    <w:p>
      <w:r>
        <w:rPr>
          <w:b/>
          <w:i w:val="0"/>
        </w:rPr>
        <w:t>Not engraved (1).</w:t>
      </w:r>
      <w:r>
        <w:rPr>
          <w:b w:val="0"/>
          <w:i w:val="0"/>
        </w:rPr>
        <w:t xml:space="preserve"> Shelves.</w:t>
      </w:r>
    </w:p>
    <w:p>
      <w:r>
        <w:rPr>
          <w:b w:val="0"/>
          <w:i w:val="0"/>
        </w:rPr>
        <w:t>The team recorded: All UgIFT assets from Kwirwot Health center (111) not engraved.</w:t>
      </w:r>
    </w:p>
    <w:p>
      <w:r>
        <w:rPr>
          <w:b w:val="0"/>
          <w:i w:val="0"/>
        </w:rPr>
        <w:t>No serial number was recorded against any item here.</w:t>
      </w:r>
    </w:p>
    <w:p>
      <w:pPr>
        <w:pStyle w:val="Heading1"/>
      </w:pPr>
      <w:r>
        <w:t>6. Obsolete, unserviceable or for disposal</w:t>
      </w:r>
    </w:p>
    <w:p>
      <w:r>
        <w:rPr>
          <w:b w:val="0"/>
          <w:i w:val="0"/>
        </w:rPr>
        <w:t>Nothing here was put down as obsolete, unserviceable or fit for disposal.</w:t>
      </w:r>
    </w:p>
    <w:p>
      <w:pPr>
        <w:pStyle w:val="Heading1"/>
      </w:pPr>
      <w:r>
        <w:t>7. Operation and maintenance</w:t>
      </w:r>
    </w:p>
    <w:p>
      <w:r>
        <w:rPr>
          <w:b w:val="0"/>
          <w:i w:val="0"/>
        </w:rPr>
        <w:t>Nothing was reported about operation, maintenance or the challenges the facility administration raised. The toolkit's discussion guide - maintenance, functionality records, and how UgIFT support has helped service delivery - was not answered for this facility.</w:t>
      </w:r>
    </w:p>
    <w:p>
      <w:pPr>
        <w:pStyle w:val="Heading1"/>
      </w:pPr>
      <w:r>
        <w:t>8. Queries</w:t>
      </w:r>
    </w:p>
    <w:p>
      <w:pPr>
        <w:pStyle w:val="ListBullet"/>
      </w:pPr>
      <w:r>
        <w:rPr>
          <w:b w:val="0"/>
          <w:i w:val="0"/>
        </w:rPr>
        <w:t>A batch of school furniture and ICT items is filed under Kwirwot HC III; confirm whether it is Kaptererwo's.</w:t>
      </w:r>
    </w:p>
    <w:p>
      <w:pPr>
        <w:pStyle w:val="ListBullet"/>
      </w:pPr>
      <w:r>
        <w:rPr>
          <w:b w:val="0"/>
          <w:i w:val="0"/>
        </w:rPr>
        <w:t>The item recorded at Kwirwot as SEVER / high-end desktop is a digital video recorder.</w:t>
      </w:r>
    </w:p>
    <w:p>
      <w:pPr>
        <w:pStyle w:val="ListBullet"/>
      </w:pPr>
      <w:r>
        <w:rPr>
          <w:b w:val="0"/>
          <w:i w:val="0"/>
        </w:rPr>
        <w:t>Nine photographs of school items are filed under Kwirwot HC III on the team's own statement.</w:t>
      </w:r>
    </w:p>
    <w:p>
      <w:pPr>
        <w:pStyle w:val="ListBullet"/>
      </w:pPr>
      <w:r>
        <w:rPr>
          <w:b w:val="0"/>
          <w:i w:val="0"/>
        </w:rPr>
        <w:t>The informant discussion guide was not answered for this facility, so questions 1a, 1b, 2, 3 and 4 of the toolkit are outstanding.</w:t>
      </w:r>
    </w:p>
    <w:p>
      <w:pPr>
        <w:pStyle w:val="ListBullet"/>
      </w:pPr>
      <w:r>
        <w:rPr>
          <w:b w:val="0"/>
          <w:i w:val="0"/>
        </w:rPr>
        <w:t>The toolkit filled in by hand on site and naming this facility has not come in, so nothing here is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