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Kaptum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Kaptum Seed Secondary School</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Kween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Date(s) of visit</w:t>
            </w:r>
          </w:p>
        </w:tc>
        <w:tc>
          <w:tcPr>
            <w:tcW w:type="dxa" w:w="4320"/>
          </w:tcPr>
          <w:p>
            <w:r/>
            <w:r>
              <w:rPr>
                <w:b w:val="0"/>
                <w:i w:val="0"/>
              </w:rPr>
              <w:t>2026-08-28</w:t>
            </w:r>
          </w:p>
        </w:tc>
      </w:tr>
      <w:tr>
        <w:tc>
          <w:tcPr>
            <w:tcW w:type="dxa" w:w="4320"/>
          </w:tcPr>
          <w:p>
            <w:r/>
            <w:r>
              <w:rPr>
                <w:b w:val="0"/>
                <w:i w:val="0"/>
              </w:rPr>
              <w:t>Team members present</w:t>
            </w:r>
          </w:p>
        </w:tc>
        <w:tc>
          <w:tcPr>
            <w:tcW w:type="dxa" w:w="4320"/>
          </w:tcPr>
          <w:p>
            <w:r/>
            <w:r>
              <w:rPr>
                <w:b w:val="0"/>
                <w:i w:val="0"/>
              </w:rPr>
              <w:t>Nakiwala Doreen</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Informant interviewed</w:t>
            </w:r>
          </w:p>
        </w:tc>
        <w:tc>
          <w:tcPr>
            <w:tcW w:type="dxa" w:w="4320"/>
          </w:tcPr>
          <w:p>
            <w:r/>
            <w:r>
              <w:rPr>
                <w:b w:val="0"/>
                <w:i w:val="0"/>
              </w:rPr>
              <w:t>Not recorded</w:t>
            </w:r>
          </w:p>
        </w:tc>
      </w:tr>
    </w:tbl>
    <w:p/>
    <w:p>
      <w:pPr>
        <w:pStyle w:val="Heading1"/>
      </w:pPr>
      <w:r>
        <w:t>2. Entry</w:t>
      </w:r>
    </w:p>
    <w:p>
      <w:r>
        <w:rPr>
          <w:b w:val="0"/>
          <w:i w:val="0"/>
        </w:rPr>
        <w:t>The visitors' book was photographed here, so the team is signed in on the facility's own record. Nothing about getting in or being allowed to work was raised.</w:t>
      </w:r>
    </w:p>
    <w:p>
      <w:pPr>
        <w:pStyle w:val="Heading1"/>
      </w:pPr>
      <w:r>
        <w:t>3. Condition and status</w:t>
      </w:r>
    </w:p>
    <w:p>
      <w:r>
        <w:rPr>
          <w:b w:val="0"/>
          <w:i w:val="0"/>
        </w:rPr>
        <w:t>The four things this exercise sets out to settle. What the visit settled is entered below, what it did not is marked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for this facility.</w:t>
            </w:r>
          </w:p>
        </w:tc>
      </w:tr>
      <w:tr>
        <w:tc>
          <w:tcPr>
            <w:tcW w:type="dxa" w:w="4320"/>
          </w:tcPr>
          <w:p>
            <w:r/>
            <w:r>
              <w:rPr>
                <w:b w:val="0"/>
                <w:i w:val="0"/>
              </w:rPr>
              <w:t>Functionality</w:t>
            </w:r>
          </w:p>
        </w:tc>
        <w:tc>
          <w:tcPr>
            <w:tcW w:type="dxa" w:w="4320"/>
          </w:tcPr>
          <w:p>
            <w:r/>
            <w:r>
              <w:rPr>
                <w:b w:val="0"/>
                <w:i w:val="0"/>
              </w:rPr>
              <w:t>Not reported. No item was recorded as working or not working.</w:t>
            </w:r>
          </w:p>
        </w:tc>
      </w:tr>
      <w:tr>
        <w:tc>
          <w:tcPr>
            <w:tcW w:type="dxa" w:w="4320"/>
          </w:tcPr>
          <w:p>
            <w:r/>
            <w:r>
              <w:rPr>
                <w:b w:val="0"/>
                <w:i w:val="0"/>
              </w:rPr>
              <w:t>Usage / performance</w:t>
            </w:r>
          </w:p>
        </w:tc>
        <w:tc>
          <w:tcPr>
            <w:tcW w:type="dxa" w:w="4320"/>
          </w:tcPr>
          <w:p>
            <w:r/>
            <w:r>
              <w:rPr>
                <w:b w:val="0"/>
                <w:i w:val="0"/>
              </w:rPr>
              <w:t>Recorded against 1 item, and it is not in service: it is boxed, held in the store, or waiting on a handover.</w:t>
            </w:r>
          </w:p>
        </w:tc>
      </w:tr>
      <w:tr>
        <w:tc>
          <w:tcPr>
            <w:tcW w:type="dxa" w:w="4320"/>
          </w:tcPr>
          <w:p>
            <w:r/>
            <w:r>
              <w:rPr>
                <w:b w:val="0"/>
                <w:i w:val="0"/>
              </w:rPr>
              <w:t>Location</w:t>
            </w:r>
          </w:p>
        </w:tc>
        <w:tc>
          <w:tcPr>
            <w:tcW w:type="dxa" w:w="4320"/>
          </w:tcPr>
          <w:p>
            <w:r/>
            <w:r>
              <w:rPr>
                <w:b w:val="0"/>
                <w:i w:val="0"/>
              </w:rPr>
              <w:t>Only the facility itself. No room, block or store was recorded against individual assets.</w:t>
            </w:r>
          </w:p>
        </w:tc>
      </w:tr>
    </w:tbl>
    <w:p/>
    <w:p>
      <w:pPr>
        <w:pStyle w:val="Heading1"/>
      </w:pPr>
      <w:r>
        <w:t>4. Supplied against found</w:t>
      </w:r>
    </w:p>
    <w:p>
      <w:r>
        <w:rPr>
          <w:b w:val="0"/>
          <w:i w:val="0"/>
        </w:rPr>
        <w:t>Nothing on file says what was supplied to this facility, so found stands on its own and there is nothing to set it against. 8 of the items recorded here carry a count; the counts sit with the facility's own record.</w:t>
      </w:r>
    </w:p>
    <w:p>
      <w:pPr>
        <w:pStyle w:val="Heading1"/>
      </w:pPr>
      <w:r>
        <w:t>5. Engraving and identification</w:t>
      </w:r>
    </w:p>
    <w:p>
      <w:r>
        <w:rPr>
          <w:b/>
          <w:i w:val="0"/>
        </w:rPr>
        <w:t>Not engraved (5).</w:t>
      </w:r>
      <w:r>
        <w:rPr>
          <w:b w:val="0"/>
          <w:i w:val="0"/>
        </w:rPr>
        <w:t xml:space="preserve"> Office chairs, Office desks, Science laboratory stool, Science laboratory tables, Students desks.</w:t>
      </w:r>
    </w:p>
    <w:p>
      <w:r>
        <w:rPr>
          <w:b w:val="0"/>
          <w:i w:val="0"/>
        </w:rPr>
        <w:t>No serial number was recorded against any item here.</w:t>
      </w:r>
    </w:p>
    <w:p>
      <w:pPr>
        <w:pStyle w:val="Heading1"/>
      </w:pPr>
      <w:r>
        <w:t>6. Obsolete, unserviceable or for disposal</w:t>
      </w:r>
    </w:p>
    <w:p>
      <w:r>
        <w:rPr>
          <w:b w:val="0"/>
          <w:i w:val="0"/>
        </w:rPr>
        <w:t>Nothing here was put down as obsolete, unserviceable or fit for disposal.</w:t>
      </w:r>
    </w:p>
    <w:p>
      <w:pPr>
        <w:pStyle w:val="Heading1"/>
      </w:pPr>
      <w:r>
        <w:t>7. Operation and maintenance</w:t>
      </w:r>
    </w:p>
    <w:p>
      <w:r>
        <w:rPr>
          <w:b w:val="0"/>
          <w:i w:val="0"/>
        </w:rPr>
        <w:t>What the team recorded on site:</w:t>
      </w:r>
    </w:p>
    <w:p>
      <w:pPr>
        <w:pStyle w:val="ListBullet"/>
      </w:pPr>
      <w:r>
        <w:rPr>
          <w:b w:val="0"/>
          <w:i w:val="0"/>
        </w:rPr>
        <w:t>2026-08-28 - The UgIFT assets have not been officially handed over to Kaptum seeds secondary school and most of the buildings are incomplete inside like the science laboratory tables,the computer lab and the library.</w:t>
      </w:r>
    </w:p>
    <w:p>
      <w:pPr>
        <w:pStyle w:val="ListBullet"/>
      </w:pPr>
      <w:r>
        <w:rPr>
          <w:b w:val="0"/>
          <w:i w:val="0"/>
        </w:rPr>
        <w:t>2026-08-28 - The following are the assets that the school has not yet received; All ICT equipments; Bookshelves in the offices and classrooms; Water pumps; Fences.</w:t>
      </w:r>
    </w:p>
    <w:p>
      <w:pPr>
        <w:pStyle w:val="Heading1"/>
      </w:pPr>
      <w:r>
        <w:t>8. Queries</w:t>
      </w:r>
    </w:p>
    <w:p>
      <w:pPr>
        <w:pStyle w:val="ListBullet"/>
      </w:pPr>
      <w:r>
        <w:rPr>
          <w:b w:val="0"/>
          <w:i w:val="0"/>
        </w:rPr>
        <w:t>Four facilities have not been handed over, so their assets stand unused.</w:t>
      </w:r>
    </w:p>
    <w:p>
      <w:pPr>
        <w:pStyle w:val="ListBullet"/>
      </w:pPr>
      <w:r>
        <w:rPr>
          <w:b w:val="0"/>
          <w:i w:val="0"/>
        </w:rPr>
        <w:t>Kaptum Seed Secondary School has received no ICT equipment, bookshelves, water pumps or fence.</w:t>
      </w:r>
    </w:p>
    <w:p>
      <w:pPr>
        <w:pStyle w:val="ListBullet"/>
      </w:pPr>
      <w:r>
        <w:rPr>
          <w:b w:val="0"/>
          <w:i w:val="0"/>
        </w:rPr>
        <w:t>Thirteen office desks at Kaptum Seed Secondary School are recorded in wording that reads two ways.</w:t>
      </w:r>
    </w:p>
    <w:p>
      <w:pPr>
        <w:pStyle w:val="ListBullet"/>
      </w:pPr>
      <w:r>
        <w:rPr>
          <w:b w:val="0"/>
          <w:i w:val="0"/>
        </w:rPr>
        <w:t>The informant discussion guide was not answered for this facility, so questions 1a, 1b, 2, 3 and 4 of the toolkit are outstanding.</w:t>
      </w:r>
    </w:p>
    <w:p>
      <w:pPr>
        <w:pStyle w:val="ListBullet"/>
      </w:pPr>
      <w:r>
        <w:rPr>
          <w:b w:val="0"/>
          <w:i w:val="0"/>
        </w:rPr>
        <w:t>The toolkit filled in by hand on site and naming this facility has not come in,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