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Buwumba HC III - facility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Buwumba HC III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Named on the programme list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named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Busia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Bukedi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visit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members present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Kayongo Tonny, Lydia Nakiganda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Informant interviewed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None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Entry</w:t>
      </w:r>
    </w:p>
    <w:p>
      <w:r>
        <w:rPr>
          <w:b w:val="0"/>
          <w:i w:val="0"/>
        </w:rPr>
        <w:t>The team reported reaching this facility on 26 August, one of the last three worked in the district. A hundred and fifty-three photographs are on file. Nobody is named as having received the team. No visitors' register was photographed. A hand-filled register naming Buwumba HC III is on file, so what it carries is verified though ownership was not established.</w:t>
      </w:r>
    </w:p>
    <w:p>
      <w:pPr>
        <w:pStyle w:val="Heading1"/>
      </w:pPr>
      <w:r>
        <w:t>3. Condition and status</w:t>
      </w:r>
    </w:p>
    <w:p>
      <w:r>
        <w:rPr>
          <w:b w:val="0"/>
          <w:i w:val="0"/>
        </w:rPr>
        <w:t>The four things the exercise exists to establish. Only what was established on site appears here; the rest is marked as not reported, not guessed.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established on site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Ownership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Not reported. No land title or ownership document was obtained.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Functionality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Established line by line on the hand-filled register, with several lines left blank or soft where the writing could not be read.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Usage / performance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Partly established. The informant says UgIFT equipment improved service delivery and the facility now receives medicines for a level III centre, but staffing and transport are inadequate.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Recorded on the register for what was written up and partly confirmed in the photographs - the laboratory, wards, store and compound appear among them.</w:t>
            </w:r>
          </w:p>
        </w:tc>
      </w:tr>
    </w:tbl>
    <w:p/>
    <w:p>
      <w:pPr>
        <w:pStyle w:val="Heading1"/>
      </w:pPr>
      <w:r>
        <w:t>4. Supplied against found</w:t>
      </w:r>
    </w:p>
    <w:p>
      <w:r>
        <w:rPr>
          <w:b w:val="0"/>
          <w:i w:val="0"/>
        </w:rPr>
        <w:t>The hand-filled register is the found side and nothing on the day was counted against it, so not one line is closed.</w:t>
      </w:r>
    </w:p>
    <w:p>
      <w:pPr>
        <w:pStyle w:val="Heading1"/>
      </w:pPr>
      <w:r>
        <w:t>5. Engraving and identification</w:t>
      </w:r>
    </w:p>
    <w:p>
      <w:r>
        <w:rPr>
          <w:b w:val="0"/>
          <w:i w:val="0"/>
        </w:rPr>
        <w:t>The register records engraving on some lines and not engraved on others. No asset number column is filled on the copy.</w:t>
      </w:r>
    </w:p>
    <w:p>
      <w:pPr>
        <w:pStyle w:val="Heading1"/>
      </w:pPr>
      <w:r>
        <w:t>6. Obsolete, unserviceable or for disposal</w:t>
      </w:r>
    </w:p>
    <w:p>
      <w:r>
        <w:rPr>
          <w:b w:val="0"/>
          <w:i w:val="0"/>
        </w:rPr>
        <w:t>Nothing on the register was named for disposal.</w:t>
      </w:r>
    </w:p>
    <w:p>
      <w:pPr>
        <w:pStyle w:val="Heading1"/>
      </w:pPr>
      <w:r>
        <w:t>7. Operation and maintenance</w:t>
      </w:r>
    </w:p>
    <w:p>
      <w:r>
        <w:rPr>
          <w:b w:val="0"/>
          <w:i w:val="0"/>
        </w:rPr>
        <w:t>The discussion guide was answered. The facility holds a record, maintains assets from PHC funds, records breakdowns, and asks for more staff, transport and continuous follow-up.</w:t>
      </w:r>
    </w:p>
    <w:p>
      <w:pPr>
        <w:pStyle w:val="Heading1"/>
      </w:pPr>
      <w:r>
        <w:t>8. Queries</w:t>
      </w:r>
    </w:p>
    <w:p>
      <w:pPr>
        <w:pStyle w:val="ListBullet"/>
      </w:pPr>
      <w:r>
        <w:rPr>
          <w:b w:val="0"/>
          <w:i w:val="0"/>
        </w:rPr>
        <w:t>This facility is named on no programme list for the district; establish whether it is in scope.</w:t>
      </w:r>
    </w:p>
    <w:p>
      <w:pPr>
        <w:pStyle w:val="ListBullet"/>
      </w:pPr>
      <w:r>
        <w:rPr>
          <w:b w:val="0"/>
          <w:i w:val="0"/>
        </w:rPr>
        <w:t>Nothing here was counted on the day; count room by room and set the count against the hand-filled register.</w:t>
      </w:r>
    </w:p>
    <w:p>
      <w:pPr>
        <w:pStyle w:val="ListBullet"/>
      </w:pPr>
      <w:r>
        <w:rPr>
          <w:b w:val="0"/>
          <w:i w:val="0"/>
        </w:rPr>
        <w:t>Ownership was not established and no land title was obtained.</w:t>
      </w:r>
    </w:p>
    <w:p>
      <w:pPr>
        <w:pStyle w:val="ListBullet"/>
      </w:pPr>
      <w:r>
        <w:rPr>
          <w:b w:val="0"/>
          <w:i w:val="0"/>
        </w:rPr>
        <w:t>Several register lines are blank or illegible; complete them on the next 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