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Bukimanayi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Bukimanayi HC III</w:t>
            </w:r>
          </w:p>
        </w:tc>
      </w:tr>
      <w:tr>
        <w:tc>
          <w:tcPr>
            <w:tcW w:type="dxa" w:w="4320"/>
          </w:tcPr>
          <w:p>
            <w:r/>
            <w:r>
              <w:rPr>
                <w:b w:val="0"/>
                <w:i w:val="0"/>
              </w:rPr>
              <w:t>Named on the programme list</w:t>
            </w:r>
          </w:p>
        </w:tc>
        <w:tc>
          <w:tcPr>
            <w:tcW w:type="dxa" w:w="4320"/>
          </w:tcPr>
          <w:p>
            <w:r/>
            <w:r>
              <w:rPr>
                <w:b w:val="0"/>
                <w:i w:val="0"/>
              </w:rPr>
              <w:t>Bukimanayi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Manafwa District</w:t>
            </w:r>
          </w:p>
        </w:tc>
      </w:tr>
      <w:tr>
        <w:tc>
          <w:tcPr>
            <w:tcW w:type="dxa" w:w="4320"/>
          </w:tcPr>
          <w:p>
            <w:r/>
            <w:r>
              <w:rPr>
                <w:b w:val="0"/>
                <w:i w:val="0"/>
              </w:rPr>
              <w:t>Region / sub-region</w:t>
            </w:r>
          </w:p>
        </w:tc>
        <w:tc>
          <w:tcPr>
            <w:tcW w:type="dxa" w:w="4320"/>
          </w:tcPr>
          <w:p>
            <w:r/>
            <w:r>
              <w:rPr>
                <w:b w:val="0"/>
                <w:i w:val="0"/>
              </w:rPr>
              <w:t>Eastern / Bugisu</w:t>
            </w:r>
          </w:p>
        </w:tc>
      </w:tr>
      <w:tr>
        <w:tc>
          <w:tcPr>
            <w:tcW w:type="dxa" w:w="4320"/>
          </w:tcPr>
          <w:p>
            <w:r/>
            <w:r>
              <w:rPr>
                <w:b w:val="0"/>
                <w:i w:val="0"/>
              </w:rPr>
              <w:t>Date of visit</w:t>
            </w:r>
          </w:p>
        </w:tc>
        <w:tc>
          <w:tcPr>
            <w:tcW w:type="dxa" w:w="4320"/>
          </w:tcPr>
          <w:p>
            <w:r/>
            <w:r>
              <w:rPr>
                <w:b w:val="0"/>
                <w:i w:val="0"/>
              </w:rPr>
              <w:t>2026-09-02</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this facility on 2 September. A hand-filled register naming Bukimanayi HC III is on file together with 0 photographs. Kayongo Tonny is named as verifier on the cover page.</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w:t>
            </w:r>
          </w:p>
        </w:tc>
      </w:tr>
      <w:tr>
        <w:tc>
          <w:tcPr>
            <w:tcW w:type="dxa" w:w="4320"/>
          </w:tcPr>
          <w:p>
            <w:r/>
            <w:r>
              <w:rPr>
                <w:b w:val="0"/>
                <w:i w:val="0"/>
              </w:rPr>
              <w:t>Functionality</w:t>
            </w:r>
          </w:p>
        </w:tc>
        <w:tc>
          <w:tcPr>
            <w:tcW w:type="dxa" w:w="4320"/>
          </w:tcPr>
          <w:p>
            <w:r/>
            <w:r>
              <w:rPr>
                <w:b w:val="0"/>
                <w:i w:val="0"/>
              </w:rPr>
              <w:t>Established on the hand-filled register.</w:t>
            </w:r>
          </w:p>
        </w:tc>
      </w:tr>
      <w:tr>
        <w:tc>
          <w:tcPr>
            <w:tcW w:type="dxa" w:w="4320"/>
          </w:tcPr>
          <w:p>
            <w:r/>
            <w:r>
              <w:rPr>
                <w:b w:val="0"/>
                <w:i w:val="0"/>
              </w:rPr>
              <w:t>Usage / performance</w:t>
            </w:r>
          </w:p>
        </w:tc>
        <w:tc>
          <w:tcPr>
            <w:tcW w:type="dxa" w:w="4320"/>
          </w:tcPr>
          <w:p>
            <w:r/>
            <w:r>
              <w:rPr>
                <w:b w:val="0"/>
                <w:i w:val="0"/>
              </w:rPr>
              <w:t>Partly established. The informant says patient enrolment more than doubled and access improved, but the facility is not fenced, the access route fails in the rains and the laboratory is not a standard one.</w:t>
            </w:r>
          </w:p>
        </w:tc>
      </w:tr>
      <w:tr>
        <w:tc>
          <w:tcPr>
            <w:tcW w:type="dxa" w:w="4320"/>
          </w:tcPr>
          <w:p>
            <w:r/>
            <w:r>
              <w:rPr>
                <w:b w:val="0"/>
                <w:i w:val="0"/>
              </w:rPr>
              <w:t>Location</w:t>
            </w:r>
          </w:p>
        </w:tc>
        <w:tc>
          <w:tcPr>
            <w:tcW w:type="dxa" w:w="4320"/>
          </w:tcPr>
          <w:p>
            <w:r/>
            <w:r>
              <w:rPr>
                <w:b w:val="0"/>
                <w:i w:val="0"/>
              </w:rPr>
              <w:t>Recorded on the register and shown in photographs where any were sent in.</w:t>
            </w:r>
          </w:p>
        </w:tc>
      </w:tr>
    </w:tbl>
    <w:p/>
    <w:p>
      <w:pPr>
        <w:pStyle w:val="Heading1"/>
      </w:pPr>
      <w:r>
        <w:t>4. Supplied against found</w:t>
      </w:r>
    </w:p>
    <w:p>
      <w:r>
        <w:rPr>
          <w:b w:val="0"/>
          <w:i w:val="0"/>
        </w:rPr>
        <w:t>The hand-filled register is the found side and nothing was counted on the day.</w:t>
      </w:r>
    </w:p>
    <w:p>
      <w:pPr>
        <w:pStyle w:val="Heading1"/>
      </w:pPr>
      <w:r>
        <w:t>5. Engraving and identification</w:t>
      </w:r>
    </w:p>
    <w:p>
      <w:r>
        <w:rPr>
          <w:b w:val="0"/>
          <w:i w:val="0"/>
        </w:rPr>
        <w:t>Not reported beyond what the register itself marks.</w:t>
      </w:r>
    </w:p>
    <w:p>
      <w:pPr>
        <w:pStyle w:val="Heading1"/>
      </w:pPr>
      <w:r>
        <w:t>6. Obsolete, unserviceable or for disposal</w:t>
      </w:r>
    </w:p>
    <w:p>
      <w:r>
        <w:rPr>
          <w:b w:val="0"/>
          <w:i w:val="0"/>
        </w:rPr>
        <w:t>Nothing on the register was named for disposal.</w:t>
      </w:r>
    </w:p>
    <w:p>
      <w:pPr>
        <w:pStyle w:val="Heading1"/>
      </w:pPr>
      <w:r>
        <w:t>7. Operation and maintenance</w:t>
      </w:r>
    </w:p>
    <w:p>
      <w:r>
        <w:rPr>
          <w:b w:val="0"/>
          <w:i w:val="0"/>
        </w:rPr>
        <w:t>The discussion guide was answered. The facility uses PHC funds for repairs, and asks for fencing, a better access route and a standardised laboratory.</w:t>
      </w:r>
    </w:p>
    <w:p>
      <w:pPr>
        <w:pStyle w:val="Heading1"/>
      </w:pPr>
      <w:r>
        <w:t>8. Queries</w:t>
      </w:r>
    </w:p>
    <w:p>
      <w:pPr>
        <w:pStyle w:val="ListBullet"/>
      </w:pPr>
      <w:r>
        <w:rPr>
          <w:b w:val="0"/>
          <w:i w:val="0"/>
        </w:rPr>
        <w:t>The programme list carries Bukimanayi HC II and the register names level III.</w:t>
      </w:r>
    </w:p>
    <w:p>
      <w:pPr>
        <w:pStyle w:val="ListBullet"/>
      </w:pPr>
      <w:r>
        <w:rPr>
          <w:b w:val="0"/>
          <w:i w:val="0"/>
        </w:rPr>
        <w:t>Nothing here was counted on the day.</w:t>
      </w:r>
    </w:p>
    <w:p>
      <w:pPr>
        <w:pStyle w:val="ListBullet"/>
      </w:pPr>
      <w:r>
        <w:rPr>
          <w:b w:val="0"/>
          <w:i w:val="0"/>
        </w:rPr>
        <w:t>Ownership was not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