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Sisuni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Sisuni</w:t>
            </w:r>
          </w:p>
        </w:tc>
      </w:tr>
      <w:tr>
        <w:tc>
          <w:tcPr>
            <w:tcW w:type="dxa" w:w="4320"/>
          </w:tcPr>
          <w:p>
            <w:r/>
            <w:r>
              <w:rPr>
                <w:b w:val="0"/>
                <w:i w:val="0"/>
              </w:rPr>
              <w:t>Named on the programme list</w:t>
            </w:r>
          </w:p>
        </w:tc>
        <w:tc>
          <w:tcPr>
            <w:tcW w:type="dxa" w:w="4320"/>
          </w:tcPr>
          <w:p>
            <w:r/>
            <w:r>
              <w:rPr>
                <w:b w:val="0"/>
                <w:i w:val="0"/>
              </w:rPr>
              <w:t>Sisuni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Manafwa District</w:t>
            </w:r>
          </w:p>
        </w:tc>
      </w:tr>
      <w:tr>
        <w:tc>
          <w:tcPr>
            <w:tcW w:type="dxa" w:w="4320"/>
          </w:tcPr>
          <w:p>
            <w:r/>
            <w:r>
              <w:rPr>
                <w:b w:val="0"/>
                <w:i w:val="0"/>
              </w:rPr>
              <w:t>Region / sub-region</w:t>
            </w:r>
          </w:p>
        </w:tc>
        <w:tc>
          <w:tcPr>
            <w:tcW w:type="dxa" w:w="4320"/>
          </w:tcPr>
          <w:p>
            <w:r/>
            <w:r>
              <w:rPr>
                <w:b w:val="0"/>
                <w:i w:val="0"/>
              </w:rPr>
              <w:t>Eastern / Bugisu</w:t>
            </w:r>
          </w:p>
        </w:tc>
      </w:tr>
      <w:tr>
        <w:tc>
          <w:tcPr>
            <w:tcW w:type="dxa" w:w="4320"/>
          </w:tcPr>
          <w:p>
            <w:r/>
            <w:r>
              <w:rPr>
                <w:b w:val="0"/>
                <w:i w:val="0"/>
              </w:rPr>
              <w:t>Date of visit</w:t>
            </w:r>
          </w:p>
        </w:tc>
        <w:tc>
          <w:tcPr>
            <w:tcW w:type="dxa" w:w="4320"/>
          </w:tcPr>
          <w:p>
            <w:r/>
            <w:r>
              <w:rPr>
                <w:b w:val="0"/>
                <w:i w:val="0"/>
              </w:rPr>
              <w:t>2026-09-03</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On 3 September the team reached Sisuni Seed Secondary School in Manafwa. A hand-filled register naming the school is on file together with 3 photographs. The team's own line of writing says the school is still under construction. Nobody is named as having received the team.</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The guide says the school is still in the contractor's hands and holds no record of UgIFT assets.</w:t>
            </w:r>
          </w:p>
        </w:tc>
      </w:tr>
      <w:tr>
        <w:tc>
          <w:tcPr>
            <w:tcW w:type="dxa" w:w="4320"/>
          </w:tcPr>
          <w:p>
            <w:r/>
            <w:r>
              <w:rPr>
                <w:b w:val="0"/>
                <w:i w:val="0"/>
              </w:rPr>
              <w:t>Functionality</w:t>
            </w:r>
          </w:p>
        </w:tc>
        <w:tc>
          <w:tcPr>
            <w:tcW w:type="dxa" w:w="4320"/>
          </w:tcPr>
          <w:p>
            <w:r/>
            <w:r>
              <w:rPr>
                <w:b w:val="0"/>
                <w:i w:val="0"/>
              </w:rPr>
              <w:t>Not reported. The guide says the school has not yet started functional and ICT and the laboratory are not yet in use.</w:t>
            </w:r>
          </w:p>
        </w:tc>
      </w:tr>
      <w:tr>
        <w:tc>
          <w:tcPr>
            <w:tcW w:type="dxa" w:w="4320"/>
          </w:tcPr>
          <w:p>
            <w:r/>
            <w:r>
              <w:rPr>
                <w:b w:val="0"/>
                <w:i w:val="0"/>
              </w:rPr>
              <w:t>Usage / performance</w:t>
            </w:r>
          </w:p>
        </w:tc>
        <w:tc>
          <w:tcPr>
            <w:tcW w:type="dxa" w:w="4320"/>
          </w:tcPr>
          <w:p>
            <w:r/>
            <w:r>
              <w:rPr>
                <w:b w:val="0"/>
                <w:i w:val="0"/>
              </w:rPr>
              <w:t>Partly established. Enrolment is recorded as having risen from 170 to 540, construction employed people from the community, fencing is missing, teachers are not yet employed by government, and construction is delayed.</w:t>
            </w:r>
          </w:p>
        </w:tc>
      </w:tr>
      <w:tr>
        <w:tc>
          <w:tcPr>
            <w:tcW w:type="dxa" w:w="4320"/>
          </w:tcPr>
          <w:p>
            <w:r/>
            <w:r>
              <w:rPr>
                <w:b w:val="0"/>
                <w:i w:val="0"/>
              </w:rPr>
              <w:t>Location</w:t>
            </w:r>
          </w:p>
        </w:tc>
        <w:tc>
          <w:tcPr>
            <w:tcW w:type="dxa" w:w="4320"/>
          </w:tcPr>
          <w:p>
            <w:r/>
            <w:r>
              <w:rPr>
                <w:b w:val="0"/>
                <w:i w:val="0"/>
              </w:rPr>
              <w:t>Photographs show the compound and a signboard where any were sent in.</w:t>
            </w:r>
          </w:p>
        </w:tc>
      </w:tr>
    </w:tbl>
    <w:p/>
    <w:p>
      <w:pPr>
        <w:pStyle w:val="Heading1"/>
      </w:pPr>
      <w:r>
        <w:t>4. Supplied against found</w:t>
      </w:r>
    </w:p>
    <w:p>
      <w:r>
        <w:rPr>
          <w:b w:val="0"/>
          <w:i w:val="0"/>
        </w:rPr>
        <w:t>The hand-filled register is the found side and nothing was counted on the day. The guide says there is no facility record of what was supplied.</w:t>
      </w:r>
    </w:p>
    <w:p>
      <w:pPr>
        <w:pStyle w:val="Heading1"/>
      </w:pPr>
      <w:r>
        <w:t>5. Engraving and identification</w:t>
      </w:r>
    </w:p>
    <w:p>
      <w:r>
        <w:rPr>
          <w:b w:val="0"/>
          <w:i w:val="0"/>
        </w:rPr>
        <w:t>Not reported.</w:t>
      </w:r>
    </w:p>
    <w:p>
      <w:pPr>
        <w:pStyle w:val="Heading1"/>
      </w:pPr>
      <w:r>
        <w:t>6. Obsolete, unserviceable or for disposal</w:t>
      </w:r>
    </w:p>
    <w:p>
      <w:r>
        <w:rPr>
          <w:b w:val="0"/>
          <w:i w:val="0"/>
        </w:rPr>
        <w:t>Nothing was named for disposal.</w:t>
      </w:r>
    </w:p>
    <w:p>
      <w:pPr>
        <w:pStyle w:val="Heading1"/>
      </w:pPr>
      <w:r>
        <w:t>7. Operation and maintenance</w:t>
      </w:r>
    </w:p>
    <w:p>
      <w:r>
        <w:rPr>
          <w:b w:val="0"/>
          <w:i w:val="0"/>
        </w:rPr>
        <w:t>The discussion guide was answered. No repairs have been done because the school is still with the contractor.</w:t>
      </w:r>
    </w:p>
    <w:p>
      <w:pPr>
        <w:pStyle w:val="Heading1"/>
      </w:pPr>
      <w:r>
        <w:t>8. Queries</w:t>
      </w:r>
    </w:p>
    <w:p>
      <w:pPr>
        <w:pStyle w:val="ListBullet"/>
      </w:pPr>
      <w:r>
        <w:rPr>
          <w:b w:val="0"/>
          <w:i w:val="0"/>
        </w:rPr>
        <w:t>Confirm what the contractor still owes and when ICT and the laboratory will be functional.</w:t>
      </w:r>
    </w:p>
    <w:p>
      <w:pPr>
        <w:pStyle w:val="ListBullet"/>
      </w:pPr>
      <w:r>
        <w:rPr>
          <w:b w:val="0"/>
          <w:i w:val="0"/>
        </w:rPr>
        <w:t>Nothing here was counted on the day.</w:t>
      </w:r>
    </w:p>
    <w:p>
      <w:pPr>
        <w:pStyle w:val="ListBullet"/>
      </w:pPr>
      <w:r>
        <w:rPr>
          <w:b w:val="0"/>
          <w:i w:val="0"/>
        </w:rPr>
        <w:t>Ownership was not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