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Namboko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Namboko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Namboko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Namisindwa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1 September the team reached Namboko Seed Secondary School in Namisindwa. A hand-filled register naming NAMBOKO SEED SECONDARY SCHOOL is on file together with 118 photographs.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register. Seventeen chairs, two laboratory stools and some ICT lines are marked non-functional or stolen.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says UgIFT improved education service but the school is still under defect liability, lacks fencing and has inadequate science materials.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classroom blocks, the laboratory, staff quarters, kitchen, latrines and water tanks.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Chairs in the photographs carry NAMBOKO SEED SEC SCH markings. The register records labelled furniture on several lines.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Seventeen chairs and two laboratory stools are broken; stolen monitors and CPUs appear in the ICT remarks.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is under defect liability, asks for early commissioning and fencing, and says administrators should come early enough.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Confirm what the contractor still owes under defect liability.</w:t>
      </w:r>
    </w:p>
    <w:p>
      <w:pPr>
        <w:pStyle w:val="ListBullet"/>
      </w:pPr>
      <w:r>
        <w:rPr>
          <w:b w:val="0"/>
          <w:i w:val="0"/>
        </w:rPr>
        <w:t>Fence the school; the guide cites insecurity without it.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