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numPr>
          <w:ilvl w:val="0"/>
          <w:numId w:val="1"/>
        </w:numP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Ayara HC III</w:t>
      </w:r>
    </w:p>
    <w:p w:rsidR="00000000" w:rsidDel="00000000" w:rsidP="00000000" w:rsidRDefault="00000000" w:rsidRPr="00000000" w14:paraId="00000004">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Okwerodot, Kole district</w:t>
      </w:r>
    </w:p>
    <w:p w:rsidR="00000000" w:rsidDel="00000000" w:rsidP="00000000" w:rsidRDefault="00000000" w:rsidRPr="00000000" w14:paraId="00000005">
      <w:pPr>
        <w:numPr>
          <w:ilvl w:val="0"/>
          <w:numId w:val="1"/>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August 2026</w:t>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bookmarkStart w:colFirst="0" w:colLast="0" w:name="_heading=h.c1ev6x3dpkqo" w:id="0"/>
      <w:bookmarkEnd w:id="0"/>
      <w:r w:rsidDel="00000000" w:rsidR="00000000" w:rsidRPr="00000000">
        <w:rPr>
          <w:rFonts w:ascii="Times New Roman" w:cs="Times New Roman" w:eastAsia="Times New Roman" w:hAnsi="Times New Roman"/>
          <w:b w:val="1"/>
          <w:bCs w:val="1"/>
          <w:sz w:val="24"/>
          <w:szCs w:val="24"/>
          <w:rtl w:val="0"/>
        </w:rPr>
        <w:t xml:space="preserve">1. General observations</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verification exercise was conducted smoothly, with no significant challenges encountered during the visit. The facility staff were cooperative and supported the team throughout the verification process.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facility had received and retained some supporting documentation relating to the UgIFT assets. However, at the time of the visit, no official or comprehensive asset register was available for review. The verification therefore relied primarily on the available delivery note/Bill of Quantities (BoQ) as the reference document for cross-checking the assets observed at the facility.</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note: </w:t>
      </w:r>
    </w:p>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bookmarkStart w:colFirst="0" w:colLast="0" w:name="_heading=h.hd8gubz5owrt" w:id="1"/>
      <w:bookmarkEnd w:id="1"/>
      <w:r w:rsidDel="00000000" w:rsidR="00000000" w:rsidRPr="00000000">
        <w:rPr>
          <w:rFonts w:ascii="Times New Roman" w:cs="Times New Roman" w:eastAsia="Times New Roman" w:hAnsi="Times New Roman"/>
          <w:b w:val="1"/>
          <w:bCs w:val="1"/>
          <w:sz w:val="24"/>
          <w:szCs w:val="24"/>
          <w:rtl w:val="0"/>
        </w:rPr>
        <w:t xml:space="preserve">Asset identification and verification</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verification of the assets was conducted using the available delivery documentation as the main reference. While this facilitated verification of some of the items, the absence of an official asset register limited the ability to cross-reference the assets against a facility-level record.</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assets observed were not engraved or marked with project-specific identification. </w:t>
      </w:r>
      <w:r w:rsidDel="00000000" w:rsidR="00000000" w:rsidRPr="00000000">
        <w:rPr>
          <w:rFonts w:ascii="Times New Roman" w:cs="Times New Roman" w:eastAsia="Times New Roman" w:hAnsi="Times New Roman"/>
          <w:b w:val="1"/>
          <w:bCs w:val="1"/>
          <w:sz w:val="24"/>
          <w:szCs w:val="24"/>
          <w:rtl w:val="0"/>
        </w:rPr>
        <w:t xml:space="preserve">The 04 benches were the exception</w:t>
      </w:r>
      <w:r w:rsidDel="00000000" w:rsidR="00000000" w:rsidRPr="00000000">
        <w:rPr>
          <w:rFonts w:ascii="Times New Roman" w:cs="Times New Roman" w:eastAsia="Times New Roman" w:hAnsi="Times New Roman"/>
          <w:sz w:val="24"/>
          <w:szCs w:val="24"/>
          <w:rtl w:val="0"/>
        </w:rPr>
        <w:t xml:space="preserve">, as they had identification markings </w:t>
      </w:r>
      <w:r w:rsidDel="00000000" w:rsidR="00000000" w:rsidRPr="00000000">
        <w:rPr>
          <w:rFonts w:ascii="Times New Roman" w:cs="Times New Roman" w:eastAsia="Times New Roman" w:hAnsi="Times New Roman"/>
          <w:i w:val="1"/>
          <w:iCs w:val="1"/>
          <w:sz w:val="24"/>
          <w:szCs w:val="24"/>
          <w:rtl w:val="0"/>
        </w:rPr>
        <w:t xml:space="preserve">(See gallery attached).</w:t>
      </w:r>
      <w:r w:rsidDel="00000000" w:rsidR="00000000" w:rsidRPr="00000000">
        <w:rPr>
          <w:rFonts w:ascii="Times New Roman" w:cs="Times New Roman" w:eastAsia="Times New Roman" w:hAnsi="Times New Roman"/>
          <w:sz w:val="24"/>
          <w:szCs w:val="24"/>
          <w:rtl w:val="0"/>
        </w:rPr>
        <w:t xml:space="preserve"> The absence of project-specific identification on the other assets made it difficult to independently distinguish UgIFT-supported assets from other assets of a similar type that are present at the facility.</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delivery note/BoQ provided a useful reference for the exercise but could not fully substitute for a facility-level asset register for ongoing asset tracking and accountability.</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bookmarkStart w:colFirst="0" w:colLast="0" w:name="_heading=h.n4p86lfgaiea" w:id="2"/>
      <w:bookmarkEnd w:id="2"/>
      <w:r w:rsidDel="00000000" w:rsidR="00000000" w:rsidRPr="00000000">
        <w:rPr>
          <w:rFonts w:ascii="Times New Roman" w:cs="Times New Roman" w:eastAsia="Times New Roman" w:hAnsi="Times New Roman"/>
          <w:b w:val="1"/>
          <w:bCs w:val="1"/>
          <w:sz w:val="24"/>
          <w:szCs w:val="24"/>
          <w:rtl w:val="0"/>
        </w:rPr>
        <w:t xml:space="preserve">Table XXX: </w:t>
      </w:r>
      <w:r w:rsidDel="00000000" w:rsidR="00000000" w:rsidRPr="00000000">
        <w:rPr>
          <w:rFonts w:ascii="Times New Roman" w:cs="Times New Roman" w:eastAsia="Times New Roman" w:hAnsi="Times New Roman"/>
          <w:b w:val="1"/>
          <w:bCs w:val="1"/>
          <w:sz w:val="24"/>
          <w:szCs w:val="24"/>
          <w:u w:val="single"/>
          <w:rtl w:val="0"/>
        </w:rPr>
        <w:t xml:space="preserve">Physical verification photos </w:t>
      </w: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061"/>
        <w:gridCol w:w="7253"/>
        <w:tblGridChange w:id="0">
          <w:tblGrid>
            <w:gridCol w:w="2061"/>
            <w:gridCol w:w="7253"/>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AYARA HC III SIGN POST</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9">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62933" cy="4463320"/>
                  <wp:effectExtent b="0" l="0" r="0" t="0"/>
                  <wp:docPr id="19"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rot="16200000">
                            <a:off x="0" y="0"/>
                            <a:ext cx="2462933" cy="446332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after="120" w:before="12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MATERNITY BLOCK (FRONT VIEW)</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84397" cy="2468565"/>
                  <wp:effectExtent b="0" l="0" r="0" t="0"/>
                  <wp:docPr id="2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384397" cy="246856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MATERNITY BLOCK (BACK VIEW WITH 3000L TANK)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0">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229558" cy="3963658"/>
                  <wp:effectExtent b="0" l="0" r="0" t="0"/>
                  <wp:docPr id="20"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rot="16200000">
                            <a:off x="0" y="0"/>
                            <a:ext cx="2229558" cy="3963658"/>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SET OF PATIENT’S TOILETS (FOUR STANCE TOILET BLOCK: MALE AND FEMALE)</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447292" cy="3931202"/>
                  <wp:effectExtent b="0" l="0" r="0" t="0"/>
                  <wp:docPr id="23"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4447292" cy="393120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PLACENTA PIT</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07287" cy="2368846"/>
                  <wp:effectExtent b="0" l="0" r="0" t="0"/>
                  <wp:docPr id="2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207287" cy="236884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OF WATER TANK SERVING THE MATERNITY BLOCK</w:t>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F">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168943" cy="3020334"/>
                  <wp:effectExtent b="0" l="0" r="0" t="0"/>
                  <wp:docPr id="16"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2168943" cy="3020334"/>
                          </a:xfrm>
                          <a:prstGeom prst="rect"/>
                          <a:ln/>
                        </pic:spPr>
                      </pic:pic>
                    </a:graphicData>
                  </a:graphic>
                </wp:inline>
              </w:drawing>
            </w:r>
            <w:r w:rsidDel="00000000" w:rsidR="00000000" w:rsidRPr="00000000">
              <w:rPr>
                <w:rtl w:val="0"/>
              </w:rPr>
            </w:r>
          </w:p>
        </w:tc>
      </w:tr>
      <w:tr>
        <w:trPr>
          <w:cantSplit w:val="0"/>
          <w:trHeight w:val="4698" w:hRule="atLeast"/>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QUARTERS (TANK AND TOILETS IN THE BACKGROUND)</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30266" cy="2853256"/>
                  <wp:effectExtent b="0" l="0" r="0" t="0"/>
                  <wp:docPr id="15"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4330266" cy="285325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OF FURNTURE BENCHES (UGIFT ASSET)</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C">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615223" cy="4649286"/>
                  <wp:effectExtent b="0" l="0" r="0" t="0"/>
                  <wp:docPr id="18"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rot="16200000">
                            <a:off x="0" y="0"/>
                            <a:ext cx="2615223" cy="4649286"/>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OF BENCH (ENGRAVEMENT MARK VISIBLE)</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1">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3166217" cy="1782688"/>
                  <wp:effectExtent b="0" l="0" r="0" t="0"/>
                  <wp:docPr id="17"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3166217" cy="17826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E4154F"/>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9.jpg"/><Relationship Id="rId13" Type="http://schemas.openxmlformats.org/officeDocument/2006/relationships/image" Target="media/image6.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3.jpg"/><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QzrlCv8vUlkLvFiN9xucF2fAuQ==">CgMxLjAyDmguYzFldjZ4M2Rwa3FvMg5oLmhkOGd1Yno1b3dydDIOaC5uNHA4NmxmZ2FpZWE4AHIhMUlLcVVaUnFhN25NN1ZReTlFQld0TXcwb0FwVEl2bHND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2026-09-10T10:56:00Z</dcterms:created>
  <dc:creator>Doris Nassuuna</dc:creator>
</cp:coreProperties>
</file>