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REPORT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Okole HC III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Kole, Kole district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visit: 25th August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observations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UGIFT assets delivered to Okole Health Center III were physically identified and verified during the monitoring exercise. The In-Charge and facility staff provided full cooperation and support throughout the verification process.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space is inadequate, with the small store becoming congested and some equipment being kept along corridors due to lack of sufficient space.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laboratory and medical equipment is not being fully utilized because staff have not received adequate training on its operation and maintenance.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facility requires repainting, as sections of the walls are peeling and visibly dirty, affecting the general appearance and cleanliness of the building.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notes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assets are not engraved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facility is making efforts to properly manage and utilize the UGIFT assets despite limitations in storage capacity and staff capacity.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storage constraints expose some equipment to unnecessary movement and potential damage, particularly where assets have to be kept outside the designated store.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skills gap may limit the effective utilization and proper maintenance of some of the newly provided equipment.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illustrates some physical status of the verified assets with photographic evidence. 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XXX: Physical verification photos  </w:t>
      </w:r>
    </w:p>
    <w:tbl>
      <w:tblPr>
        <w:tblStyle w:val="Table1"/>
        <w:tblW w:w="10297.0" w:type="dxa"/>
        <w:jc w:val="left"/>
        <w:tblInd w:w="-131.0" w:type="dxa"/>
        <w:tblBorders>
          <w:top w:color="215868" w:space="0" w:sz="6" w:val="single"/>
          <w:left w:color="215868" w:space="0" w:sz="6" w:val="single"/>
          <w:bottom w:color="215868" w:space="0" w:sz="6" w:val="single"/>
          <w:right w:color="215868" w:space="0" w:sz="6" w:val="single"/>
          <w:insideH w:color="215868" w:space="0" w:sz="6" w:val="single"/>
          <w:insideV w:color="215868" w:space="0" w:sz="6" w:val="single"/>
        </w:tblBorders>
        <w:tblLayout w:type="fixed"/>
        <w:tblLook w:val="0400"/>
      </w:tblPr>
      <w:tblGrid>
        <w:gridCol w:w="2865"/>
        <w:gridCol w:w="7432"/>
        <w:tblGridChange w:id="0">
          <w:tblGrid>
            <w:gridCol w:w="2865"/>
            <w:gridCol w:w="74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OKOLE HC III SIGN POST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37758" cy="2878319"/>
                  <wp:effectExtent b="0" l="0" r="0" t="0"/>
                  <wp:docPr id="1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758" cy="28783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TYPICAL SET OF STAFF QUARTER’S BLOCK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(HOUSE BLOCK WITH TWO UNITS, KITCHEN)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58641" cy="2968981"/>
                  <wp:effectExtent b="0" l="0" r="0" t="0"/>
                  <wp:docPr id="1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641" cy="2968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TYPICAL SET OF STAFF QUARTER’S BLOCK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(HOUSE BLOCK WITH TWO UNITS, KITCHEN BACK VIEW)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27673" cy="2870755"/>
                  <wp:effectExtent b="0" l="0" r="0" t="0"/>
                  <wp:docPr id="1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673" cy="2870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WARD/BLOCK (FRONT VIEW)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68698" cy="2826524"/>
                  <wp:effectExtent b="0" l="0" r="0" t="0"/>
                  <wp:docPr id="2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698" cy="28265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WARD/BLOCK (BACK VIEW) INCLUDING WATER TANKS SUPPLYING THE WARD/BLOCK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01161" cy="3072884"/>
                  <wp:effectExtent b="0" l="0" r="0" t="0"/>
                  <wp:docPr id="1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161" cy="3072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WARD/BLOCK (SIDE VIEW)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41653" cy="2731240"/>
                  <wp:effectExtent b="0" l="0" r="0" t="0"/>
                  <wp:docPr id="2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653" cy="2731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PLACENTA PIT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16359" cy="2937269"/>
                  <wp:effectExtent b="0" l="0" r="0" t="0"/>
                  <wp:docPr id="2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359" cy="2937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304B7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F0A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ZfuJqIFdQmuWh2feBXCgyWC95Q==">CgMxLjA4AHIhMWRIdWswNkxmMXBlVUZTb042SlRhSjVtTFI5S28yaEJt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2026-09-13T19:22:00Z</dcterms:created>
  <dc:creator>Doris Nassuuna</dc:creator>
</cp:coreProperties>
</file>